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273382"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6E9222D3"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141AA2">
        <w:rPr>
          <w:rFonts w:ascii="Times New Roman" w:eastAsiaTheme="majorEastAsia" w:hAnsi="Times New Roman" w:cs="Times New Roman"/>
          <w:b/>
          <w:color w:val="000000" w:themeColor="text1"/>
          <w:sz w:val="24"/>
          <w:szCs w:val="24"/>
          <w:lang w:val="bg-BG"/>
        </w:rPr>
        <w:t>0</w:t>
      </w:r>
      <w:r w:rsidR="00AA2C3C">
        <w:rPr>
          <w:rFonts w:ascii="Times New Roman" w:eastAsiaTheme="majorEastAsia" w:hAnsi="Times New Roman" w:cs="Times New Roman"/>
          <w:b/>
          <w:color w:val="000000" w:themeColor="text1"/>
          <w:sz w:val="24"/>
          <w:szCs w:val="24"/>
          <w:lang w:val="bg-BG"/>
        </w:rPr>
        <w:t>9</w:t>
      </w:r>
      <w:r w:rsidR="00141AA2">
        <w:rPr>
          <w:rFonts w:ascii="Times New Roman" w:eastAsiaTheme="majorEastAsia" w:hAnsi="Times New Roman" w:cs="Times New Roman"/>
          <w:b/>
          <w:color w:val="000000" w:themeColor="text1"/>
          <w:sz w:val="24"/>
          <w:szCs w:val="24"/>
          <w:lang w:val="bg-BG"/>
        </w:rPr>
        <w:t>.03</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 Разработване на среда за дистанционно кандидатстване и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„Разширяване на бакалавърски и магистърски програми с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1. Задължително ли е повторното включване на дейности по въвеждане/актуализиране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Достатъчно ли е кандидатът/партньорът да декларира, че програмата вече е с актуализирани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разработване/актуализиране и въвеждане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възможност молим да уточните и какви доказателства за участие/завършване са приемливи при отчитане при електронни обучения (напр. списъци, </w:t>
      </w:r>
      <w:proofErr w:type="spellStart"/>
      <w:r w:rsidRPr="00EB5F04">
        <w:rPr>
          <w:rFonts w:ascii="Times New Roman" w:eastAsia="Calibri" w:hAnsi="Times New Roman" w:cs="Times New Roman"/>
          <w:sz w:val="24"/>
          <w:szCs w:val="24"/>
          <w:lang w:val="bg-BG"/>
        </w:rPr>
        <w:t>логове</w:t>
      </w:r>
      <w:proofErr w:type="spellEnd"/>
      <w:r w:rsidRPr="00EB5F04">
        <w:rPr>
          <w:rFonts w:ascii="Times New Roman" w:eastAsia="Calibri" w:hAnsi="Times New Roman" w:cs="Times New Roman"/>
          <w:sz w:val="24"/>
          <w:szCs w:val="24"/>
          <w:lang w:val="bg-BG"/>
        </w:rPr>
        <w:t xml:space="preserve">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w:t>
      </w:r>
      <w:proofErr w:type="spellStart"/>
      <w:r w:rsidRPr="00EB5F04">
        <w:rPr>
          <w:rFonts w:ascii="Times New Roman" w:eastAsia="Calibri" w:hAnsi="Times New Roman" w:cs="Times New Roman"/>
          <w:i/>
          <w:iCs/>
          <w:sz w:val="24"/>
          <w:szCs w:val="24"/>
          <w:lang w:val="bg-BG"/>
        </w:rPr>
        <w:t>компетентностни</w:t>
      </w:r>
      <w:proofErr w:type="spellEnd"/>
      <w:r w:rsidRPr="00EB5F04">
        <w:rPr>
          <w:rFonts w:ascii="Times New Roman" w:eastAsia="Calibri" w:hAnsi="Times New Roman" w:cs="Times New Roman"/>
          <w:i/>
          <w:iCs/>
          <w:sz w:val="24"/>
          <w:szCs w:val="24"/>
          <w:lang w:val="bg-BG"/>
        </w:rPr>
        <w:t xml:space="preserve"> профили“ </w:t>
      </w:r>
      <w:r w:rsidRPr="00EB5F04">
        <w:rPr>
          <w:rFonts w:ascii="Times New Roman" w:eastAsia="Calibri" w:hAnsi="Times New Roman" w:cs="Times New Roman"/>
          <w:sz w:val="24"/>
          <w:szCs w:val="24"/>
          <w:lang w:val="bg-BG"/>
        </w:rPr>
        <w:t xml:space="preserve">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xml:space="preserve">, неговото изпълнение 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.2 „Разходи за обучения в България при изпълнението на РП“ от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w:t>
      </w:r>
      <w:proofErr w:type="spellStart"/>
      <w:r w:rsidRPr="00EB5F04">
        <w:rPr>
          <w:rFonts w:ascii="Times New Roman" w:eastAsia="Calibri" w:hAnsi="Times New Roman" w:cs="Times New Roman"/>
          <w:sz w:val="24"/>
          <w:szCs w:val="24"/>
          <w:lang w:val="bg-BG"/>
        </w:rPr>
        <w:t>обучителя</w:t>
      </w:r>
      <w:proofErr w:type="spellEnd"/>
      <w:r w:rsidRPr="00EB5F04">
        <w:rPr>
          <w:rFonts w:ascii="Times New Roman" w:eastAsia="Calibri" w:hAnsi="Times New Roman" w:cs="Times New Roman"/>
          <w:sz w:val="24"/>
          <w:szCs w:val="24"/>
          <w:lang w:val="bg-BG"/>
        </w:rPr>
        <w:t xml:space="preserve">/обучителната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2: допустимо ли е да се планират дейности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3: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proofErr w:type="spellStart"/>
      <w:r w:rsidRPr="00956817">
        <w:rPr>
          <w:rFonts w:ascii="Times New Roman" w:eastAsia="Calibri" w:hAnsi="Times New Roman" w:cs="Times New Roman"/>
          <w:sz w:val="24"/>
          <w:szCs w:val="24"/>
          <w:lang w:val="bg-BG"/>
        </w:rPr>
        <w:t>компетентностните</w:t>
      </w:r>
      <w:proofErr w:type="spellEnd"/>
      <w:r w:rsidRPr="00956817">
        <w:rPr>
          <w:rFonts w:ascii="Times New Roman" w:eastAsia="Calibri" w:hAnsi="Times New Roman" w:cs="Times New Roman"/>
          <w:sz w:val="24"/>
          <w:szCs w:val="24"/>
          <w:lang w:val="bg-BG"/>
        </w:rPr>
        <w:t xml:space="preserve">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Нарушение ли е ръководител/координатор на проект да не получава заплащане за управление и координация, а се отчете като експерт образование, </w:t>
      </w:r>
      <w:proofErr w:type="spellStart"/>
      <w:r w:rsidRPr="00E13C70">
        <w:rPr>
          <w:rFonts w:ascii="Times New Roman" w:eastAsia="Calibri" w:hAnsi="Times New Roman" w:cs="Times New Roman"/>
          <w:sz w:val="24"/>
          <w:szCs w:val="24"/>
          <w:lang w:val="bg-BG"/>
        </w:rPr>
        <w:t>т.к</w:t>
      </w:r>
      <w:proofErr w:type="spellEnd"/>
      <w:r w:rsidRPr="00E13C70">
        <w:rPr>
          <w:rFonts w:ascii="Times New Roman" w:eastAsia="Calibri" w:hAnsi="Times New Roman" w:cs="Times New Roman"/>
          <w:sz w:val="24"/>
          <w:szCs w:val="24"/>
          <w:lang w:val="bg-BG"/>
        </w:rPr>
        <w:t>.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w:t>
      </w:r>
      <w:proofErr w:type="spellStart"/>
      <w:r w:rsidRPr="00E13C70">
        <w:rPr>
          <w:rFonts w:ascii="Times New Roman" w:eastAsia="Calibri" w:hAnsi="Times New Roman" w:cs="Times New Roman"/>
          <w:sz w:val="24"/>
          <w:szCs w:val="24"/>
          <w:lang w:val="bg-BG"/>
        </w:rPr>
        <w:t>еврова</w:t>
      </w:r>
      <w:proofErr w:type="spellEnd"/>
      <w:r w:rsidRPr="00E13C70">
        <w:rPr>
          <w:rFonts w:ascii="Times New Roman" w:eastAsia="Calibri" w:hAnsi="Times New Roman" w:cs="Times New Roman"/>
          <w:sz w:val="24"/>
          <w:szCs w:val="24"/>
          <w:lang w:val="bg-BG"/>
        </w:rPr>
        <w:t xml:space="preserve">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w:t>
      </w:r>
      <w:proofErr w:type="spellStart"/>
      <w:r w:rsidRPr="00E13C70">
        <w:rPr>
          <w:rFonts w:ascii="Times New Roman" w:eastAsia="Calibri" w:hAnsi="Times New Roman" w:cs="Times New Roman"/>
          <w:sz w:val="24"/>
          <w:szCs w:val="24"/>
          <w:lang w:val="bg-BG"/>
        </w:rPr>
        <w:t>т.к</w:t>
      </w:r>
      <w:proofErr w:type="spellEnd"/>
      <w:r w:rsidRPr="00E13C70">
        <w:rPr>
          <w:rFonts w:ascii="Times New Roman" w:eastAsia="Calibri" w:hAnsi="Times New Roman" w:cs="Times New Roman"/>
          <w:sz w:val="24"/>
          <w:szCs w:val="24"/>
          <w:lang w:val="bg-BG"/>
        </w:rPr>
        <w:t>.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Конкретното разпределение на разходите за управление на проекта и разходите за видимост, прозрачност и комуникация, е преценка на конкретния бенефициент съобразно спецификата на проектното предложение.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Pr="00E13C70">
        <w:rPr>
          <w:rFonts w:ascii="Times New Roman" w:eastAsia="Calibri" w:hAnsi="Times New Roman" w:cs="Times New Roman"/>
          <w:i/>
          <w:iCs/>
          <w:sz w:val="24"/>
          <w:szCs w:val="24"/>
          <w:lang w:val="bg-BG"/>
        </w:rPr>
        <w:t>Annex_XVIII_УВР</w:t>
      </w:r>
      <w:proofErr w:type="spellEnd"/>
      <w:r w:rsidRPr="00E13C70">
        <w:rPr>
          <w:rFonts w:ascii="Times New Roman" w:eastAsia="Calibri" w:hAnsi="Times New Roman" w:cs="Times New Roman"/>
          <w:i/>
          <w:iCs/>
          <w:sz w:val="24"/>
          <w:szCs w:val="24"/>
          <w:lang w:val="bg-BG"/>
        </w:rPr>
        <w:t>-ВО),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3854B74A" w:rsid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25086CD9" w14:textId="77777777" w:rsidR="00141AA2" w:rsidRPr="00E13C70" w:rsidRDefault="00141AA2"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70015789" w14:textId="77777777" w:rsidR="00141AA2" w:rsidRPr="00141AA2" w:rsidRDefault="00141AA2" w:rsidP="00141AA2">
      <w:pPr>
        <w:keepNext/>
        <w:keepLines/>
        <w:spacing w:before="40" w:after="0"/>
        <w:outlineLvl w:val="1"/>
        <w:rPr>
          <w:rFonts w:ascii="Times New Roman" w:eastAsia="Times New Roman" w:hAnsi="Times New Roman" w:cs="Times New Roman"/>
          <w:b/>
          <w:caps/>
          <w:color w:val="000000"/>
          <w:sz w:val="24"/>
          <w:szCs w:val="24"/>
          <w:lang w:val="bg-BG"/>
        </w:rPr>
      </w:pPr>
      <w:r w:rsidRPr="00141AA2">
        <w:rPr>
          <w:rFonts w:ascii="Times New Roman" w:eastAsia="Times New Roman" w:hAnsi="Times New Roman" w:cs="Times New Roman"/>
          <w:b/>
          <w:caps/>
          <w:color w:val="000000"/>
          <w:sz w:val="24"/>
          <w:szCs w:val="24"/>
          <w:lang w:val="bg-BG"/>
        </w:rPr>
        <w:t xml:space="preserve">Въпрос </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от </w:t>
      </w:r>
      <w:r w:rsidRPr="00141AA2">
        <w:rPr>
          <w:rFonts w:ascii="Times New Roman" w:eastAsia="Times New Roman" w:hAnsi="Times New Roman" w:cs="Times New Roman"/>
          <w:b/>
          <w:caps/>
          <w:color w:val="000000"/>
          <w:sz w:val="24"/>
          <w:szCs w:val="24"/>
        </w:rPr>
        <w:t>2</w:t>
      </w:r>
      <w:r w:rsidRPr="00141AA2">
        <w:rPr>
          <w:rFonts w:ascii="Times New Roman" w:eastAsia="Times New Roman" w:hAnsi="Times New Roman" w:cs="Times New Roman"/>
          <w:b/>
          <w:caps/>
          <w:color w:val="000000"/>
          <w:sz w:val="24"/>
          <w:szCs w:val="24"/>
          <w:lang w:val="bg-BG"/>
        </w:rPr>
        <w:t>7.02.2026 г. (Q0</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постъпил чрез ИСУН):</w:t>
      </w:r>
    </w:p>
    <w:p w14:paraId="7E8828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Здравейте,</w:t>
      </w:r>
    </w:p>
    <w:p w14:paraId="4875F369"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Във връзка с процедурата BG05SFPR001-3.006 „Модернизация на висшите училища 2.0“, моля, за даване на следните разяснения:</w:t>
      </w:r>
    </w:p>
    <w:p w14:paraId="7007D7E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№1. В Приложение VII към Условията за кандидатстване са посочени водещите партньори по професионални направления по процедурата. В тази връзка, различни факултети на Софийския университет „Св. Климент Охридски“ например, предлагат обучение по припокриващи се професионални направления, например по професионално направление 4.4. Науки за земята.</w:t>
      </w:r>
    </w:p>
    <w:p w14:paraId="77F20A0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 тази връзка, моля, за следните разяснения:</w:t>
      </w:r>
    </w:p>
    <w:p w14:paraId="1B76FA52"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два или повече факултета на СУ „Св. Климент Охридски“ да подадат проектни предложения, които включват дейности по едно и също професионално направление, например професионално направление 4.4. „Науки за земята“ или всеки факултет може да кандидатства с проектно предложение само за професионалното направление, по което е водещ?</w:t>
      </w:r>
    </w:p>
    <w:p w14:paraId="3E6DDE8D"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даден факултет на СУ „Св. Климент Охридски“ да включи в дейностите си по проекта разработването на курсове (вкл. ресурси за дистанционно обучение), които са извън основното му професионално направление, влизат в Приложение VII, но се покриват от други факултети на СУ?</w:t>
      </w:r>
    </w:p>
    <w:p w14:paraId="17FF9AF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включването на дейности в проектното предложение, насочени към други професионални направления, които са извън списъка в Приложение VII и съответно обособени в друг работен пакет – например Работен пакет 2?</w:t>
      </w:r>
    </w:p>
    <w:p w14:paraId="43E9DEF6"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Партньорът по проекта задължително ли следва да предвиди дейности, свързани с професионалното направление, по което кандидатства Водещия партньор или може да предвиди и дейности, които покриват други професионални направления?</w:t>
      </w:r>
    </w:p>
    <w:p w14:paraId="7E1B514A"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№2. Има ли ограничения относно мястото на провеждане на изходящата мобилност на преподаватели и на студенти, дейностите за участие на млади преподаватели в специализации и международни форуми?</w:t>
      </w:r>
    </w:p>
    <w:p w14:paraId="790A807C"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горепосочените дейности в чужбина да се провеждат освен в държавите от ЕС, в държави от Африка и Азия?</w:t>
      </w:r>
    </w:p>
    <w:p w14:paraId="22F017F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№3. Има ли ограничения относно мястото на провеждане на Дейност 6. Популяризиране на българските висши училища?</w:t>
      </w:r>
    </w:p>
    <w:p w14:paraId="6FD38557"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студентски борси в чужбина да се провеждат освен в държавите от ЕС, в държави от Африка и Азия?</w:t>
      </w:r>
    </w:p>
    <w:p w14:paraId="20AF40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lastRenderedPageBreak/>
        <w:t>Въпрос №4. По отношение на „I. Стандартна таблица на разходите за единица продукт“, на стр. 23 от Насоките за кандидатстване се казва, че: „При изпълнението на Работните пакети, за всеки отчетен и верифициран краен продукт (група продукти) се възстановява единичен разход (ЕР), който се изчислява въз основа на броя на отработените часове от наетите експерти по следната формула: ЕР краен продукт = (Брой часове х ЕР 3.28) х 1,4“. Моля, за следните уточнения:</w:t>
      </w:r>
    </w:p>
    <w:p w14:paraId="7E3957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Правилно ли разбираме, че коефициентът 1,4 автоматично се прилага към изчисляването на разхода за крайните продукти, за които е приложимо в таблицата в Excel „</w:t>
      </w:r>
      <w:proofErr w:type="spellStart"/>
      <w:r w:rsidRPr="00141AA2">
        <w:rPr>
          <w:rFonts w:ascii="Times New Roman" w:eastAsia="Calibri" w:hAnsi="Times New Roman" w:cs="Times New Roman"/>
          <w:sz w:val="24"/>
          <w:szCs w:val="24"/>
          <w:lang w:val="bg-BG"/>
        </w:rPr>
        <w:t>Annex_V_Помощна</w:t>
      </w:r>
      <w:proofErr w:type="spellEnd"/>
      <w:r w:rsidRPr="00141AA2">
        <w:rPr>
          <w:rFonts w:ascii="Times New Roman" w:eastAsia="Calibri" w:hAnsi="Times New Roman" w:cs="Times New Roman"/>
          <w:sz w:val="24"/>
          <w:szCs w:val="24"/>
          <w:lang w:val="bg-BG"/>
        </w:rPr>
        <w:t xml:space="preserve"> таблица“ или коефициентът трябва да се добави ръчно?</w:t>
      </w:r>
    </w:p>
    <w:p w14:paraId="4849B5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№5. Има ли ограничение относно вида дейности, които може да се покриват с разходите, попадащи в „Други преки и непреки разходи (40% от преките разходи за персонал)“? Например, освен закупуване на дълготрайни материални и нематериални активи, допустимо ли е възлагането на външни услуги, наемане на лица на граждански договори и други разходи, които са необходими за изпълнението на дейностите/</w:t>
      </w:r>
      <w:proofErr w:type="spellStart"/>
      <w:r w:rsidRPr="00141AA2">
        <w:rPr>
          <w:rFonts w:ascii="Times New Roman" w:eastAsia="Calibri" w:hAnsi="Times New Roman" w:cs="Times New Roman"/>
          <w:sz w:val="24"/>
          <w:szCs w:val="24"/>
          <w:lang w:val="bg-BG"/>
        </w:rPr>
        <w:t>поддейностите</w:t>
      </w:r>
      <w:proofErr w:type="spellEnd"/>
      <w:r w:rsidRPr="00141AA2">
        <w:rPr>
          <w:rFonts w:ascii="Times New Roman" w:eastAsia="Calibri" w:hAnsi="Times New Roman" w:cs="Times New Roman"/>
          <w:sz w:val="24"/>
          <w:szCs w:val="24"/>
          <w:lang w:val="bg-BG"/>
        </w:rPr>
        <w:t xml:space="preserve"> от съответния работен пакет?</w:t>
      </w:r>
    </w:p>
    <w:p w14:paraId="4EB8C42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Times New Roman" w:hAnsi="Times New Roman" w:cs="Times New Roman"/>
          <w:b/>
          <w:caps/>
          <w:color w:val="000000"/>
          <w:sz w:val="24"/>
          <w:szCs w:val="24"/>
          <w:lang w:val="bg-BG"/>
        </w:rPr>
        <w:t>Отговор:</w:t>
      </w:r>
    </w:p>
    <w:p w14:paraId="214B1F6F" w14:textId="4F4487F0"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141AA2">
        <w:rPr>
          <w:rFonts w:ascii="Times New Roman" w:eastAsia="Calibri" w:hAnsi="Times New Roman" w:cs="Times New Roman"/>
          <w:sz w:val="24"/>
          <w:szCs w:val="24"/>
          <w:lang w:val="bg-BG"/>
        </w:rPr>
        <w:t xml:space="preserve">В Приложение  </w:t>
      </w:r>
      <w:r w:rsidRPr="00141AA2">
        <w:rPr>
          <w:rFonts w:ascii="Times New Roman" w:eastAsia="Calibri" w:hAnsi="Times New Roman" w:cs="Times New Roman"/>
          <w:sz w:val="24"/>
          <w:szCs w:val="24"/>
        </w:rPr>
        <w:t>VII</w:t>
      </w:r>
      <w:r w:rsidRPr="00141AA2">
        <w:rPr>
          <w:rFonts w:ascii="Times New Roman" w:eastAsia="Calibri" w:hAnsi="Times New Roman" w:cs="Times New Roman"/>
          <w:sz w:val="24"/>
          <w:szCs w:val="24"/>
          <w:lang w:val="bg-BG"/>
        </w:rPr>
        <w:t>.</w:t>
      </w:r>
      <w:r w:rsidRPr="00141AA2">
        <w:rPr>
          <w:rFonts w:ascii="Calibri" w:eastAsia="Calibri" w:hAnsi="Calibri" w:cs="Times New Roman"/>
        </w:rPr>
        <w:t xml:space="preserve"> </w:t>
      </w:r>
      <w:proofErr w:type="spellStart"/>
      <w:r w:rsidRPr="00141AA2">
        <w:rPr>
          <w:rFonts w:ascii="Times New Roman" w:eastAsia="Calibri" w:hAnsi="Times New Roman" w:cs="Times New Roman"/>
          <w:sz w:val="24"/>
          <w:szCs w:val="24"/>
        </w:rPr>
        <w:t>Списък</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на</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водещите</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партньори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по</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приоритетни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професионални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направления</w:t>
      </w:r>
      <w:proofErr w:type="spellEnd"/>
      <w:r w:rsidRPr="00141AA2">
        <w:rPr>
          <w:rFonts w:ascii="Times New Roman" w:eastAsia="Calibri" w:hAnsi="Times New Roman" w:cs="Times New Roman"/>
          <w:sz w:val="24"/>
          <w:szCs w:val="24"/>
        </w:rPr>
        <w:t xml:space="preserve"> и </w:t>
      </w:r>
      <w:proofErr w:type="spellStart"/>
      <w:r w:rsidRPr="00141AA2">
        <w:rPr>
          <w:rFonts w:ascii="Times New Roman" w:eastAsia="Calibri" w:hAnsi="Times New Roman" w:cs="Times New Roman"/>
          <w:sz w:val="24"/>
          <w:szCs w:val="24"/>
        </w:rPr>
        <w:t>по</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професионални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направления</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Медицина</w:t>
      </w:r>
      <w:proofErr w:type="spellEnd"/>
      <w:r w:rsidRPr="00141AA2">
        <w:rPr>
          <w:rFonts w:ascii="Times New Roman" w:eastAsia="Calibri" w:hAnsi="Times New Roman" w:cs="Times New Roman"/>
          <w:sz w:val="24"/>
          <w:szCs w:val="24"/>
        </w:rPr>
        <w:t>“, „</w:t>
      </w:r>
      <w:proofErr w:type="spellStart"/>
      <w:r w:rsidRPr="00141AA2">
        <w:rPr>
          <w:rFonts w:ascii="Times New Roman" w:eastAsia="Calibri" w:hAnsi="Times New Roman" w:cs="Times New Roman"/>
          <w:sz w:val="24"/>
          <w:szCs w:val="24"/>
        </w:rPr>
        <w:t>Дентална</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медицина</w:t>
      </w:r>
      <w:proofErr w:type="spellEnd"/>
      <w:r w:rsidRPr="00141AA2">
        <w:rPr>
          <w:rFonts w:ascii="Times New Roman" w:eastAsia="Calibri" w:hAnsi="Times New Roman" w:cs="Times New Roman"/>
          <w:sz w:val="24"/>
          <w:szCs w:val="24"/>
        </w:rPr>
        <w:t>“ и „</w:t>
      </w:r>
      <w:proofErr w:type="spellStart"/>
      <w:r w:rsidRPr="00141AA2">
        <w:rPr>
          <w:rFonts w:ascii="Times New Roman" w:eastAsia="Calibri" w:hAnsi="Times New Roman" w:cs="Times New Roman"/>
          <w:sz w:val="24"/>
          <w:szCs w:val="24"/>
        </w:rPr>
        <w:t>Фармация</w:t>
      </w:r>
      <w:proofErr w:type="spellEnd"/>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към Насоките за кандидатстване по процедурата са посочени висшите училища, които са определени за водещи партньори по съответното професионално направление. Съгласно т. 11 „Допустими кандидати“ от Условията за кандидатстване </w:t>
      </w:r>
      <w:r w:rsidRPr="00141AA2">
        <w:rPr>
          <w:rFonts w:ascii="Times New Roman" w:eastAsia="Calibri" w:hAnsi="Times New Roman" w:cs="Times New Roman"/>
          <w:i/>
          <w:iCs/>
          <w:sz w:val="24"/>
          <w:szCs w:val="24"/>
          <w:lang w:val="bg-BG"/>
        </w:rPr>
        <w:t>водещият партньор може да включи в проектното си предложение само професионалното направление, за което е определен за водещ партньор. Когато висше 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141AA2">
        <w:rPr>
          <w:rFonts w:ascii="Times New Roman" w:eastAsia="Calibri" w:hAnsi="Times New Roman" w:cs="Times New Roman"/>
          <w:sz w:val="24"/>
          <w:szCs w:val="24"/>
          <w:lang w:val="bg-BG"/>
        </w:rPr>
        <w:t xml:space="preserve"> В тази връзка,</w:t>
      </w:r>
      <w:r w:rsidRPr="00141AA2">
        <w:rPr>
          <w:rFonts w:ascii="Times New Roman" w:eastAsia="Calibri" w:hAnsi="Times New Roman" w:cs="Times New Roman"/>
          <w:b/>
          <w:bCs/>
          <w:sz w:val="24"/>
          <w:szCs w:val="24"/>
          <w:lang w:val="bg-BG"/>
        </w:rPr>
        <w:t xml:space="preserve"> водещ партньор е съответното висше училище</w:t>
      </w:r>
      <w:r w:rsidRPr="00141AA2">
        <w:rPr>
          <w:rFonts w:ascii="Times New Roman" w:eastAsia="Calibri" w:hAnsi="Times New Roman" w:cs="Times New Roman"/>
          <w:sz w:val="24"/>
          <w:szCs w:val="24"/>
          <w:lang w:val="bg-BG"/>
        </w:rPr>
        <w:t xml:space="preserve">, а не факултет или друго негово основно звено, в което се обучават студенти от водещото професионално направление. Не се допуска включване на дейности за водещия партньор, насочени към други негови професионални направления, различни от водещото направление. По отношение на професионалните направления, с които може да участва висше училища партньор, в т. 12. Допустими партньори“ от Условията за кандидатстване е посочено следното: </w:t>
      </w:r>
      <w:r w:rsidRPr="00141AA2">
        <w:rPr>
          <w:rFonts w:ascii="Times New Roman" w:eastAsia="Calibri" w:hAnsi="Times New Roman" w:cs="Times New Roman"/>
          <w:i/>
          <w:iCs/>
          <w:sz w:val="24"/>
          <w:szCs w:val="24"/>
          <w:lang w:val="bg-BG"/>
        </w:rPr>
        <w:t xml:space="preserve">Конкретният бенефициент – водещ партньор за съответното професионално направление трябва да включи като </w:t>
      </w:r>
      <w:r w:rsidRPr="00141AA2">
        <w:rPr>
          <w:rFonts w:ascii="Times New Roman" w:eastAsia="Calibri" w:hAnsi="Times New Roman" w:cs="Times New Roman"/>
          <w:b/>
          <w:bCs/>
          <w:i/>
          <w:iCs/>
          <w:sz w:val="24"/>
          <w:szCs w:val="24"/>
          <w:lang w:val="bg-BG"/>
        </w:rPr>
        <w:t>партньор поне едно друго висше училище от същото професионално направление или от друго професионално направление, ако то допринася за развитие на професионалното направление на водещия партньор</w:t>
      </w:r>
      <w:r w:rsidRPr="00141AA2">
        <w:rPr>
          <w:rFonts w:ascii="Times New Roman" w:eastAsia="Calibri" w:hAnsi="Times New Roman" w:cs="Times New Roman"/>
          <w:i/>
          <w:iCs/>
          <w:sz w:val="24"/>
          <w:szCs w:val="24"/>
          <w:lang w:val="bg-BG"/>
        </w:rPr>
        <w:t xml:space="preserve">. Всяко висше училище може да участва като партньор в едно или няколко проектни предложения, насочени към различни негови професионални направления, без значение дали съответните професионалния направления са приоритетни или не. Процедурата не поставя ограничения за броя на професионалните направления, които може да включи партньор в проектно предложение. Броят и изборът на професионалните направления на партньор зависят от спецификата на проектното предложение и идентифицираните потребности. </w:t>
      </w:r>
      <w:r w:rsidRPr="00141AA2">
        <w:rPr>
          <w:rFonts w:ascii="Times New Roman" w:eastAsia="Calibri" w:hAnsi="Times New Roman" w:cs="Times New Roman"/>
          <w:sz w:val="24"/>
          <w:szCs w:val="24"/>
          <w:lang w:val="bg-BG"/>
        </w:rPr>
        <w:t xml:space="preserve">В тази връзка, когато партньор участва с различно професионално направление от направлението на водещия партньор, това различно професионално направление трябва да допринася за развитието на водещото </w:t>
      </w:r>
      <w:r w:rsidRPr="00141AA2">
        <w:rPr>
          <w:rFonts w:ascii="Times New Roman" w:eastAsia="Calibri" w:hAnsi="Times New Roman" w:cs="Times New Roman"/>
          <w:sz w:val="24"/>
          <w:szCs w:val="24"/>
          <w:lang w:val="bg-BG"/>
        </w:rPr>
        <w:lastRenderedPageBreak/>
        <w:t xml:space="preserve">професионално направление. Професионално направление на партньор може да бъде включено само в едно проектно предложение по процедурата. </w:t>
      </w:r>
    </w:p>
    <w:p w14:paraId="5A01AF6D"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Съгласно т. 6. „Териториален обхват“ от Условията за кандидатстване дейностите за изходяща мобилност на преподаватели и на студенти, дейностите за участие на млади преподаватели в специализации и международни форуми, дейностите за участие в междууниверситетски международни конференции и семинари за представяне на нови методи за обучение и студентски борси може да се изпълняват както на територията на Република България, така и на територията на другите страни-членки на ЕС, извън територията на Република България, както и извън държава членка, включително извън територията на Съюза, но при условие че допринасят за изпълнението на целите на конкретния проект.</w:t>
      </w:r>
      <w:r w:rsidRPr="00141AA2">
        <w:rPr>
          <w:rFonts w:ascii="Calibri" w:eastAsia="Calibri" w:hAnsi="Calibri" w:cs="Times New Roman"/>
        </w:rPr>
        <w:t xml:space="preserve"> </w:t>
      </w:r>
      <w:r w:rsidRPr="00141AA2">
        <w:rPr>
          <w:rFonts w:ascii="Times New Roman" w:eastAsia="Calibri" w:hAnsi="Times New Roman" w:cs="Times New Roman"/>
          <w:sz w:val="24"/>
          <w:szCs w:val="24"/>
          <w:lang w:val="bg-BG"/>
        </w:rPr>
        <w:t>Резултатите от изпълнението на съответния проект следва да се ползват на територията на Република България.</w:t>
      </w:r>
    </w:p>
    <w:p w14:paraId="0DB3DB17"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Моля вижте отговора по т. 2 по-горе.</w:t>
      </w:r>
    </w:p>
    <w:p w14:paraId="47E8C9D0"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Цитираният текст от страница 23 на Условията за кандидатстване има отношение към </w:t>
      </w:r>
      <w:r w:rsidRPr="00141AA2">
        <w:rPr>
          <w:rFonts w:ascii="Times New Roman" w:eastAsia="Calibri" w:hAnsi="Times New Roman" w:cs="Times New Roman"/>
          <w:b/>
          <w:bCs/>
          <w:sz w:val="24"/>
          <w:szCs w:val="24"/>
          <w:lang w:val="bg-BG"/>
        </w:rPr>
        <w:t>отчитането и възстановяването на разходите за реализираните крайни продукти</w:t>
      </w:r>
      <w:r w:rsidRPr="00141AA2">
        <w:rPr>
          <w:rFonts w:ascii="Times New Roman" w:eastAsia="Calibri" w:hAnsi="Times New Roman" w:cs="Times New Roman"/>
          <w:sz w:val="24"/>
          <w:szCs w:val="24"/>
          <w:lang w:val="bg-BG"/>
        </w:rPr>
        <w:t xml:space="preserve"> в процеса на изпълнение на проектите, респективно попълването на Приложение 4. </w:t>
      </w:r>
      <w:bookmarkStart w:id="75" w:name="_Hlk223097704"/>
      <w:r w:rsidRPr="00141AA2">
        <w:rPr>
          <w:rFonts w:ascii="Times New Roman" w:eastAsia="Calibri" w:hAnsi="Times New Roman" w:cs="Times New Roman"/>
          <w:sz w:val="24"/>
          <w:szCs w:val="24"/>
          <w:lang w:val="bg-BG"/>
        </w:rPr>
        <w:t xml:space="preserve">Декларация за изпълнението на съответния РП </w:t>
      </w:r>
      <w:bookmarkEnd w:id="75"/>
      <w:r w:rsidRPr="00141AA2">
        <w:rPr>
          <w:rFonts w:ascii="Times New Roman" w:eastAsia="Calibri" w:hAnsi="Times New Roman" w:cs="Times New Roman"/>
          <w:sz w:val="24"/>
          <w:szCs w:val="24"/>
          <w:lang w:val="bg-BG"/>
        </w:rPr>
        <w:t xml:space="preserve">към Условията за възстановяване на разходите </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Приложение  </w:t>
      </w:r>
      <w:r w:rsidRPr="00141AA2">
        <w:rPr>
          <w:rFonts w:ascii="Times New Roman" w:eastAsia="Calibri" w:hAnsi="Times New Roman" w:cs="Times New Roman"/>
          <w:sz w:val="24"/>
          <w:szCs w:val="24"/>
        </w:rPr>
        <w:t xml:space="preserve">XVIII </w:t>
      </w:r>
      <w:r w:rsidRPr="00141AA2">
        <w:rPr>
          <w:rFonts w:ascii="Times New Roman" w:eastAsia="Calibri" w:hAnsi="Times New Roman" w:cs="Times New Roman"/>
          <w:sz w:val="24"/>
          <w:szCs w:val="24"/>
          <w:lang w:val="bg-BG"/>
        </w:rPr>
        <w:t>към Насоките за кандидатстване</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където </w:t>
      </w:r>
      <w:r w:rsidRPr="00141AA2">
        <w:rPr>
          <w:rFonts w:ascii="Times New Roman" w:eastAsia="Calibri" w:hAnsi="Times New Roman" w:cs="Times New Roman"/>
          <w:b/>
          <w:bCs/>
          <w:sz w:val="24"/>
          <w:szCs w:val="24"/>
          <w:lang w:val="bg-BG"/>
        </w:rPr>
        <w:t>Управляващият орган е заложил формула</w:t>
      </w:r>
      <w:r w:rsidRPr="00141AA2">
        <w:rPr>
          <w:rFonts w:ascii="Times New Roman" w:eastAsia="Calibri" w:hAnsi="Times New Roman" w:cs="Times New Roman"/>
          <w:sz w:val="24"/>
          <w:szCs w:val="24"/>
          <w:lang w:val="bg-BG"/>
        </w:rPr>
        <w:t xml:space="preserve"> за определяне на допустимите разходи за даден краен продукт въз основа на броя на отработените часове от наетите експерти, единичния разход за почасово възнаграждение и единната ставка от 40 % за други преки и непреки разходи. При попълването на Приложение</w:t>
      </w:r>
      <w:r w:rsidRPr="00141AA2">
        <w:rPr>
          <w:rFonts w:ascii="Times New Roman" w:eastAsia="Calibri" w:hAnsi="Times New Roman" w:cs="Times New Roman"/>
          <w:sz w:val="24"/>
          <w:szCs w:val="24"/>
        </w:rPr>
        <w:t xml:space="preserve"> V</w:t>
      </w:r>
      <w:r w:rsidRPr="00141AA2">
        <w:rPr>
          <w:rFonts w:ascii="Times New Roman" w:eastAsia="Calibri" w:hAnsi="Times New Roman" w:cs="Times New Roman"/>
          <w:sz w:val="24"/>
          <w:szCs w:val="24"/>
          <w:lang w:val="bg-BG"/>
        </w:rPr>
        <w:t>. Помощна таблица в процеса на подготовка на проектното предложение, Управляващият орган също е заложил предварително всички формули, с които се изчисляват размерите на допустимите разходи по процедурата, включително размера на другите преки и непреки разходи. В тази връзка при попълване както на Помощната таблица (на етапа на кандидатстване), така и на Декларацията за изпълнението на съответния РП (на етапа на отчитане) конкретните бенефициенти трябва да заложат единствено броя на часовете, които се планира да бъдат отработени за създаването на конкретния краен продукт, съответно да отчетат броя на часовете, които действително са отработени за създаването на конкретния краен продукт.</w:t>
      </w:r>
    </w:p>
    <w:p w14:paraId="4892FCD7" w14:textId="131FEA7E"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Единната ставка в размер на 40% към преките разходи за персонал покрива всички непреки разходи и всички други допустими преки разходи, които са необходими за изпълнението на дейностите в Работния пакет и са </w:t>
      </w:r>
      <w:r w:rsidRPr="00141AA2">
        <w:rPr>
          <w:rFonts w:ascii="Times New Roman" w:eastAsia="Calibri" w:hAnsi="Times New Roman" w:cs="Times New Roman"/>
          <w:b/>
          <w:bCs/>
          <w:sz w:val="24"/>
          <w:szCs w:val="24"/>
          <w:lang w:val="bg-BG"/>
        </w:rPr>
        <w:t>различни от</w:t>
      </w:r>
      <w:r w:rsidRPr="00141AA2">
        <w:rPr>
          <w:rFonts w:ascii="Calibri" w:eastAsia="Calibri" w:hAnsi="Calibri" w:cs="Times New Roman"/>
        </w:rPr>
        <w:t xml:space="preserve"> </w:t>
      </w:r>
      <w:r w:rsidRPr="00141AA2">
        <w:rPr>
          <w:rFonts w:ascii="Times New Roman" w:eastAsia="Calibri" w:hAnsi="Times New Roman" w:cs="Times New Roman"/>
          <w:b/>
          <w:bCs/>
          <w:sz w:val="24"/>
          <w:szCs w:val="24"/>
          <w:lang w:val="bg-BG"/>
        </w:rPr>
        <w:t>разходите, които се отчитат като преки разходи за персонал.</w:t>
      </w:r>
    </w:p>
    <w:p w14:paraId="4A739141" w14:textId="77777777" w:rsidR="00141AA2" w:rsidRPr="00141AA2" w:rsidRDefault="00141AA2" w:rsidP="00141AA2">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6A006484" w14:textId="77777777" w:rsidR="00AA2C3C" w:rsidRPr="00AA2C3C" w:rsidRDefault="00AA2C3C" w:rsidP="00AA2C3C">
      <w:pPr>
        <w:keepNext/>
        <w:keepLines/>
        <w:spacing w:before="40" w:after="0"/>
        <w:outlineLvl w:val="1"/>
        <w:rPr>
          <w:rFonts w:ascii="Times New Roman" w:eastAsia="Times New Roman" w:hAnsi="Times New Roman" w:cs="Times New Roman"/>
          <w:b/>
          <w:caps/>
          <w:color w:val="000000"/>
          <w:sz w:val="24"/>
          <w:szCs w:val="24"/>
          <w:lang w:val="bg-BG"/>
        </w:rPr>
      </w:pPr>
      <w:bookmarkStart w:id="76" w:name="_Hlk223613994"/>
      <w:r w:rsidRPr="00AA2C3C">
        <w:rPr>
          <w:rFonts w:ascii="Times New Roman" w:eastAsia="Times New Roman" w:hAnsi="Times New Roman" w:cs="Times New Roman"/>
          <w:b/>
          <w:caps/>
          <w:color w:val="000000"/>
          <w:sz w:val="24"/>
          <w:szCs w:val="24"/>
          <w:lang w:val="bg-BG"/>
        </w:rPr>
        <w:t xml:space="preserve">Въпрос </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от 05.03.2026 г. (Q0</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постъпил чрез ИСУН):</w:t>
      </w:r>
    </w:p>
    <w:p w14:paraId="2C1D12F1"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Уважаеми дами и господа,</w:t>
      </w:r>
    </w:p>
    <w:p w14:paraId="726C6C1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Съгласно т. 13 Допустими дейности от Условията за кандидатстване,  разработените ресурси, курсове и програми по процедурата следва да бъдат въведени в обучението на студенти в рамките на периода на изпълнение на проекта. Моля да потвърдите, че са допустими за извършване дейности и разходи за преподаване (лекции и упражнения) и преподаване по практическо обучение (</w:t>
      </w:r>
      <w:proofErr w:type="spellStart"/>
      <w:r w:rsidRPr="00AA2C3C">
        <w:rPr>
          <w:rFonts w:ascii="Times New Roman" w:eastAsia="Calibri" w:hAnsi="Times New Roman" w:cs="Times New Roman"/>
          <w:sz w:val="24"/>
          <w:szCs w:val="24"/>
          <w:lang w:val="bg-BG"/>
        </w:rPr>
        <w:t>преддипломен</w:t>
      </w:r>
      <w:proofErr w:type="spellEnd"/>
      <w:r w:rsidRPr="00AA2C3C">
        <w:rPr>
          <w:rFonts w:ascii="Times New Roman" w:eastAsia="Calibri" w:hAnsi="Times New Roman" w:cs="Times New Roman"/>
          <w:sz w:val="24"/>
          <w:szCs w:val="24"/>
          <w:lang w:val="bg-BG"/>
        </w:rPr>
        <w:t xml:space="preserve"> стаж) в рамките на учебния план на студентите по разработените </w:t>
      </w:r>
      <w:bookmarkStart w:id="77" w:name="_Hlk223677119"/>
      <w:r w:rsidRPr="00AA2C3C">
        <w:rPr>
          <w:rFonts w:ascii="Times New Roman" w:eastAsia="Calibri" w:hAnsi="Times New Roman" w:cs="Times New Roman"/>
          <w:sz w:val="24"/>
          <w:szCs w:val="24"/>
          <w:lang w:val="bg-BG"/>
        </w:rPr>
        <w:t xml:space="preserve">ресурси, курсове и програми </w:t>
      </w:r>
      <w:bookmarkEnd w:id="77"/>
      <w:r w:rsidRPr="00AA2C3C">
        <w:rPr>
          <w:rFonts w:ascii="Times New Roman" w:eastAsia="Calibri" w:hAnsi="Times New Roman" w:cs="Times New Roman"/>
          <w:sz w:val="24"/>
          <w:szCs w:val="24"/>
          <w:lang w:val="bg-BG"/>
        </w:rPr>
        <w:t>по процедурата, при спазване на изискването за липса на двойно финансиране .</w:t>
      </w:r>
    </w:p>
    <w:p w14:paraId="447C4FB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lastRenderedPageBreak/>
        <w:t>В допълнение в Приложение УВР-ВО Условия за възстановяване на разходите по процедура BG05SFPR001-3.006  „Модернизация на висшите училища 2.0“ няма посочени документи, с които ще се отчита извършената дейност и разход за преподаване. Моля за информация с какви документи ще се доказва извършения за преподаване разход при подаване на искане от бенефициента за възстановяване на средства.</w:t>
      </w:r>
    </w:p>
    <w:p w14:paraId="700B7F97"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Times New Roman" w:hAnsi="Times New Roman" w:cs="Times New Roman"/>
          <w:b/>
          <w:caps/>
          <w:color w:val="000000"/>
          <w:sz w:val="24"/>
          <w:szCs w:val="24"/>
          <w:lang w:val="bg-BG"/>
        </w:rPr>
        <w:t>Отговор:</w:t>
      </w:r>
    </w:p>
    <w:p w14:paraId="7164DCAB" w14:textId="77777777" w:rsidR="00AA2C3C" w:rsidRDefault="00AA2C3C" w:rsidP="00AA2C3C">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Моля вижте отговора на въпрос 6, т.1 по-горе. В допълнение,</w:t>
      </w:r>
      <w:r w:rsidRPr="00AA2C3C">
        <w:rPr>
          <w:rFonts w:ascii="Calibri" w:eastAsia="Calibri" w:hAnsi="Calibri" w:cs="Times New Roman"/>
        </w:rPr>
        <w:t xml:space="preserve"> </w:t>
      </w:r>
      <w:r w:rsidRPr="00AA2C3C">
        <w:rPr>
          <w:rFonts w:ascii="Calibri" w:eastAsia="Calibri" w:hAnsi="Calibri" w:cs="Times New Roman"/>
          <w:b/>
          <w:bCs/>
          <w:lang w:val="bg-BG"/>
        </w:rPr>
        <w:t>л</w:t>
      </w:r>
      <w:r w:rsidRPr="00AA2C3C">
        <w:rPr>
          <w:rFonts w:ascii="Times New Roman" w:eastAsia="Calibri" w:hAnsi="Times New Roman" w:cs="Times New Roman"/>
          <w:b/>
          <w:bCs/>
          <w:sz w:val="24"/>
          <w:szCs w:val="24"/>
          <w:lang w:val="bg-BG"/>
        </w:rPr>
        <w:t>ипсата на двойно финансиране</w:t>
      </w:r>
      <w:r w:rsidRPr="00AA2C3C">
        <w:rPr>
          <w:rFonts w:ascii="Times New Roman" w:eastAsia="Calibri" w:hAnsi="Times New Roman" w:cs="Times New Roman"/>
          <w:sz w:val="24"/>
          <w:szCs w:val="24"/>
          <w:lang w:val="bg-BG"/>
        </w:rPr>
        <w:t xml:space="preserve"> се декларира от конкретните бенефициенти (водещи партньори и партньори) в раздел V на Декларацията на кандидата и партньора (Приложение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AA2C3C">
        <w:rPr>
          <w:rFonts w:ascii="Times New Roman" w:eastAsia="Calibri" w:hAnsi="Times New Roman" w:cs="Times New Roman"/>
          <w:sz w:val="24"/>
          <w:szCs w:val="24"/>
          <w:lang w:val="bg-BG"/>
        </w:rPr>
        <w:t>Annex_XVIII_УВР</w:t>
      </w:r>
      <w:proofErr w:type="spellEnd"/>
      <w:r w:rsidRPr="00AA2C3C">
        <w:rPr>
          <w:rFonts w:ascii="Times New Roman" w:eastAsia="Calibri" w:hAnsi="Times New Roman" w:cs="Times New Roman"/>
          <w:sz w:val="24"/>
          <w:szCs w:val="24"/>
          <w:lang w:val="bg-BG"/>
        </w:rPr>
        <w:t xml:space="preserve">-ВО), и </w:t>
      </w:r>
      <w:r w:rsidRPr="00AA2C3C">
        <w:rPr>
          <w:rFonts w:ascii="Times New Roman" w:eastAsia="Calibri" w:hAnsi="Times New Roman" w:cs="Times New Roman"/>
          <w:b/>
          <w:bCs/>
          <w:sz w:val="24"/>
          <w:szCs w:val="24"/>
          <w:lang w:val="bg-BG"/>
        </w:rPr>
        <w:t>ще се проверява</w:t>
      </w:r>
      <w:r w:rsidRPr="00AA2C3C">
        <w:rPr>
          <w:rFonts w:ascii="Times New Roman" w:eastAsia="Calibri" w:hAnsi="Times New Roman" w:cs="Times New Roman"/>
          <w:sz w:val="24"/>
          <w:szCs w:val="24"/>
          <w:lang w:val="bg-BG"/>
        </w:rPr>
        <w:t xml:space="preserve"> от Управляващия орган както на етап кандидатстване, </w:t>
      </w:r>
      <w:r w:rsidRPr="00AA2C3C">
        <w:rPr>
          <w:rFonts w:ascii="Times New Roman" w:eastAsia="Calibri" w:hAnsi="Times New Roman" w:cs="Times New Roman"/>
          <w:b/>
          <w:bCs/>
          <w:sz w:val="24"/>
          <w:szCs w:val="24"/>
          <w:lang w:val="bg-BG"/>
        </w:rPr>
        <w:t>така и по време на изпълнението на проекта</w:t>
      </w:r>
      <w:r w:rsidRPr="00AA2C3C">
        <w:rPr>
          <w:rFonts w:ascii="Times New Roman" w:eastAsia="Calibri" w:hAnsi="Times New Roman" w:cs="Times New Roman"/>
          <w:sz w:val="24"/>
          <w:szCs w:val="24"/>
          <w:lang w:val="bg-BG"/>
        </w:rPr>
        <w:t>. Обръщаме внимание, че</w:t>
      </w:r>
      <w:bookmarkEnd w:id="76"/>
      <w:r w:rsidRPr="00AA2C3C">
        <w:rPr>
          <w:rFonts w:ascii="Times New Roman" w:eastAsia="Calibri" w:hAnsi="Times New Roman" w:cs="Times New Roman"/>
          <w:sz w:val="24"/>
          <w:szCs w:val="24"/>
          <w:lang w:val="bg-BG"/>
        </w:rPr>
        <w:t xml:space="preserve"> съгласно т. 11 „Допустими кандидати“ от Условията за кандидатстване кандидатът и партньорите трябва да осигурят механизми за устойчивост на резултатите по проекта, като е поставено изискване да опишат във Формуляра за кандидатстване начините, чрез които ще осигурят възможност ползите от проекта за целевите групи да продължат да съществуват и след края на финансирането по проекта, и да посочат потенциалните източници за финансиране след приключване на проекта, които трябва да бъдат реалистични и надеждни. Спазването на това изискване ще се проверява от Управляващия орган както на етапа на кандидатстване, така и в периода на изпълнение на проекта и след неговото приключване. В този смисъл, кандидатът и партньорите трябва да гарантират, че след приключване на проекта въведените в рамките на периода на изпълнение на проекта ресурси, курсове и програми ще бъдат преподавани на студенти от включените в проекта професионални направления в същия обхват, за който е предоставено финансиране по конкретния проект.</w:t>
      </w: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72241" w14:textId="77777777" w:rsidR="005F1BA6" w:rsidRDefault="005F1BA6" w:rsidP="002F1D11">
      <w:pPr>
        <w:spacing w:after="0" w:line="240" w:lineRule="auto"/>
      </w:pPr>
      <w:r>
        <w:separator/>
      </w:r>
    </w:p>
  </w:endnote>
  <w:endnote w:type="continuationSeparator" w:id="0">
    <w:p w14:paraId="025B730D" w14:textId="77777777" w:rsidR="005F1BA6" w:rsidRDefault="005F1BA6"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0C438" w14:textId="77777777" w:rsidR="005F1BA6" w:rsidRDefault="005F1BA6" w:rsidP="002F1D11">
      <w:pPr>
        <w:spacing w:after="0" w:line="240" w:lineRule="auto"/>
      </w:pPr>
      <w:r>
        <w:separator/>
      </w:r>
    </w:p>
  </w:footnote>
  <w:footnote w:type="continuationSeparator" w:id="0">
    <w:p w14:paraId="7369C34F" w14:textId="77777777" w:rsidR="005F1BA6" w:rsidRDefault="005F1BA6"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D0C6D"/>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CB6220"/>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14"/>
  </w:num>
  <w:num w:numId="4">
    <w:abstractNumId w:val="15"/>
  </w:num>
  <w:num w:numId="5">
    <w:abstractNumId w:val="4"/>
  </w:num>
  <w:num w:numId="6">
    <w:abstractNumId w:val="7"/>
  </w:num>
  <w:num w:numId="7">
    <w:abstractNumId w:val="12"/>
  </w:num>
  <w:num w:numId="8">
    <w:abstractNumId w:val="11"/>
  </w:num>
  <w:num w:numId="9">
    <w:abstractNumId w:val="9"/>
  </w:num>
  <w:num w:numId="10">
    <w:abstractNumId w:val="13"/>
  </w:num>
  <w:num w:numId="11">
    <w:abstractNumId w:val="2"/>
  </w:num>
  <w:num w:numId="12">
    <w:abstractNumId w:val="6"/>
  </w:num>
  <w:num w:numId="13">
    <w:abstractNumId w:val="0"/>
  </w:num>
  <w:num w:numId="14">
    <w:abstractNumId w:val="10"/>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1AA2"/>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616C1"/>
    <w:rsid w:val="00273382"/>
    <w:rsid w:val="002A206D"/>
    <w:rsid w:val="002A5DE3"/>
    <w:rsid w:val="002C5582"/>
    <w:rsid w:val="002D0DA8"/>
    <w:rsid w:val="002E6EAF"/>
    <w:rsid w:val="002F1135"/>
    <w:rsid w:val="002F1D11"/>
    <w:rsid w:val="00300E40"/>
    <w:rsid w:val="003060FE"/>
    <w:rsid w:val="00320093"/>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1BA6"/>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8F1922"/>
    <w:rsid w:val="00956817"/>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A2C3C"/>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44lz68HzSfrfc/MxN8Kb5gY5U2SPEjaGjzF8DA1Y1yY=</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cl6903uKcRB4s4+72EoF7vVfXj/sqK0hJbVygDy+1S4=</DigestValue>
    </Reference>
    <Reference Type="http://www.w3.org/2000/09/xmldsig#Object" URI="#idValidSigLnImg">
      <DigestMethod Algorithm="http://www.w3.org/2001/04/xmlenc#sha256"/>
      <DigestValue>aDv9BUrvdysYTPP6CF7xUm+rI5JSNTMaPIPv7HaivZ8=</DigestValue>
    </Reference>
    <Reference Type="http://www.w3.org/2000/09/xmldsig#Object" URI="#idInvalidSigLnImg">
      <DigestMethod Algorithm="http://www.w3.org/2001/04/xmlenc#sha256"/>
      <DigestValue>WH5/Hdcf3aNpCLzRzm0cvqGnUuY5LlkZKmAomnTMPug=</DigestValue>
    </Reference>
  </SignedInfo>
  <SignatureValue>aK0hVNBKMpk9lLNk3Tl5Uusgd7X8hbGSKWgUwa2/m1o6vz1UpwxEBo5cC2qqTJqotUfgl6AykweC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=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KfoxxI1nGm4H5cbTKU+NqKGDzNmLYWbx4rZ1G4XC3xw=</DigestValue>
      </Reference>
      <Reference URI="/word/endnotes.xml?ContentType=application/vnd.openxmlformats-officedocument.wordprocessingml.endnotes+xml">
        <DigestMethod Algorithm="http://www.w3.org/2001/04/xmlenc#sha256"/>
        <DigestValue>dWVYo06Pb4u9AyblNBr1Oj8zsY0vr5fzK1gtNClgb2Y=</DigestValue>
      </Reference>
      <Reference URI="/word/fontTable.xml?ContentType=application/vnd.openxmlformats-officedocument.wordprocessingml.fontTable+xml">
        <DigestMethod Algorithm="http://www.w3.org/2001/04/xmlenc#sha256"/>
        <DigestValue>pWiyfh9GnJKVvyWFBgs0Nzqwb5XQf3tJrC5mqwSCNX0=</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aCQrKJuUkC7uYB6Y+1MYBLj/CYAa0joaHlcXVw30ZhE=</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NRiSR/59Q4KwlHTPZ9fMZBDvhLbvy7D87br5mtUCDec=</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8ymPPVQeyaIlV/j3ZPnaZf3cdJgiyknfnfN+0cKYeE0=</DigestValue>
      </Reference>
      <Reference URI="/word/settings.xml?ContentType=application/vnd.openxmlformats-officedocument.wordprocessingml.settings+xml">
        <DigestMethod Algorithm="http://www.w3.org/2001/04/xmlenc#sha256"/>
        <DigestValue>potieCt7YcjhHYXSDvdyJRwfNDPaA7xC3Mqy3LvbA80=</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2026-03-16T14:23:19Z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2026-03-16T14:23:19Z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OFvDr8AAAAAAAAAAAAAAMheiNf6fwAAAAAAAAAAAAAJAAAAAAAAAAAAMEGYAgAAxA/BN/p/AAAAAAAAAAAAAAAAAAAAAAAAPDtINQYvAACI4m8OvwAAAMBb3yeYAgAA8GCZE5gCAABgsWoMmAIAALDjbw4AAAAAYFleDJgCAAAHAAAAAAAAAAAAAAAAAAAA7OJvDr8AAAAp428OvwAAAGFEXtf6fwAAAAAAAAAAAAAQk8B9AAAAAAAAAAAAAAAAAAAAAAAAAABgsWoMmAIAALvrYtf6fwAAkOJvDr8AAAAp428Ov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9jN/p/AADwUG0MmAIAAAIAAAAAAAAAyF6I1/p/AAAAAAAAAAAAABH81Tb6fwAAcKbrKZgCAADcLnY4+n8AAAAAAAAAAAAAAAAAAAAAAADso0g1Bi8AAAAA0Db6fwAAAAAAAAAAAADg////AAAAAGCxagyYAgAAmHxvDgAAAAAAAAAAAAAAAAYAAAAAAAAAAAAAAAAAAAC8e28OvwAAAPl7bw6/AAAAYURe1/p/AABIfDwmmAIAAMB6bw4AAAAASHw8JpgCAAAAbUwmmAIAAGCxagyYAgAAu+ti1/p/AABge28OvwAAAPl7bw6/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ojX+n8AAAAAAAAAAAAAAAAAAAAAAABYeLApmAIAABCGfCmYAgAAAAAAAAAAAAAAAAAAAAAAAPyjSDUGLwAAeCBQN/p/AABA1wAmmAIAAPD///8AAAAAYLFqDJgCAACIfG8OAAAAAAAAAAAAAAAACQAAAAAAAAAAAAAAAAAAAKx7bw6/AAAA6XtvDr8AAABhRF7X+n8AAPh7PCaYAgAAsHpvDgAAAAD4ezwmmAIAAAAAAAAAAAAAYLFqDJgCAAC762LX+n8AAFB7bw6/AAAA6XtvDr8AAAAAAAAAAAAAAABtKBB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44+n8AAABAbjj6fwAAyF6I1/p/AAAAAAAAAAAAAIENwTf6fwAAAHIJ2fp/AAC82FI4+n8AAAAAAAAAAAAAAAAAAAAAAADMRkg1Bi8AAFEQwTf6fwAABAAAAAAAAAD1////AAAAAGCxagyYAgAAuKFvDgAAAAAAAAAAAAAAAAkAAAAAAAAAAAAAAAAAAADcoG8OvwAAABmhbw6/AAAAYURe1/p/AAAAAAfZ+n8AAAAAAAAAAAAAAAAAAJgCAAABAAAAAAAAAGCxagyYAgAAu+ti1/p/AACAoG8OvwAAABmhbw6/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4W8OvwAAAAAAAAAAAAAAyF6I1/p/AAAAAAAAAAAAAAkAAAAAAAAAAAAwQZgCAADED8E3+n8AAAAAAAAAAAAAAAAAAAAAAAA8O0g1Bi8AAIjibw6/AAAAwFvfJ5gCAADwYJkTmAIAAGCxagyYAgAAsONvDgAAAABgWV4MmAIAAAcAAAAAAAAAAAAAAAAAAADs4m8OvwAAACnjbw6/AAAAYURe1/p/AAAAAAAAAAAAABCTwH0AAAAAAAAAAAAAAAAAAAAAAAAAAGCxagyYAgAAu+ti1/p/AACQ4m8OvwAAACnjbw6/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2M3+n8AAPBQbQyYAgAAAgAAAAAAAADIXojX+n8AAAAAAAAAAAAAEfzVNvp/AABwpuspmAIAANwudjj6fwAAAAAAAAAAAAAAAAAAAAAAAOyjSDUGLwAAAADQNvp/AAAAAAAAAAAAAOD///8AAAAAYLFqDJgCAACYfG8OAAAAAAAAAAAAAAAABgAAAAAAAAAAAAAAAAAAALx7bw6/AAAA+XtvDr8AAABhRF7X+n8AAEh8PCaYAgAAwHpvDgAAAABIfDwmmAIAAABtTCaYAgAAYLFqDJgCAAC762LX+n8AAGB7bw6/AAAA+XtvDr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iNf6fwAAAAAAAAAAAAAAAAAAAAAAAFh4sCmYAgAAEIZ8KZgCAAAAAAAAAAAAAAAAAAAAAAAA/KNINQYvAAB4IFA3+n8AAEDXACaYAgAA8P///wAAAABgsWoMmAIAAIh8bw4AAAAAAAAAAAAAAAAJAAAAAAAAAAAAAAAAAAAArHtvDr8AAADpe28OvwAAAGFEXtf6fwAA+Hs8JpgCAACwem8OAAAAAPh7PCaYAgAAAAAAAAAAAABgsWoMmAIAALvrYtf6fwAAUHtvDr8AAADpe28OvwAAAAAAAAAAAAAAAG0oE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SJQ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44</Pages>
  <Words>17532</Words>
  <Characters>99935</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Ivan Popov</cp:lastModifiedBy>
  <cp:revision>78</cp:revision>
  <dcterms:created xsi:type="dcterms:W3CDTF">2025-11-03T14:42:00Z</dcterms:created>
  <dcterms:modified xsi:type="dcterms:W3CDTF">2026-03-16T14:23:00Z</dcterms:modified>
</cp:coreProperties>
</file>