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Pr="005A0A79" w:rsidRDefault="003C120F" w:rsidP="00534AFE">
      <w:pPr>
        <w:spacing w:after="120"/>
        <w:ind w:left="4248" w:firstLine="708"/>
        <w:jc w:val="both"/>
        <w:rPr>
          <w:rFonts w:ascii="Times New Roman" w:hAnsi="Times New Roman" w:cs="Times New Roman"/>
          <w:b/>
          <w:bCs/>
          <w:sz w:val="24"/>
          <w:szCs w:val="24"/>
        </w:rPr>
      </w:pPr>
      <w:bookmarkStart w:id="1" w:name="_Hlk117864689"/>
      <w:r w:rsidRPr="005A0A79">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Pr="005A0A79" w:rsidRDefault="008F7BFB" w:rsidP="00534AFE">
      <w:pPr>
        <w:spacing w:after="120"/>
        <w:jc w:val="center"/>
        <w:rPr>
          <w:rFonts w:ascii="Times New Roman" w:hAnsi="Times New Roman" w:cs="Times New Roman"/>
          <w:b/>
          <w:bCs/>
          <w:sz w:val="24"/>
          <w:szCs w:val="24"/>
        </w:rPr>
      </w:pPr>
      <w:r w:rsidRPr="005A0A79">
        <w:rPr>
          <w:rFonts w:ascii="Times New Roman" w:hAnsi="Times New Roman" w:cs="Times New Roman"/>
          <w:b/>
          <w:bCs/>
          <w:sz w:val="24"/>
          <w:szCs w:val="24"/>
        </w:rPr>
        <w:t>ВЪПРОСИ И ОТГОВОРИ</w:t>
      </w:r>
    </w:p>
    <w:p w14:paraId="30316679" w14:textId="70ED61C4" w:rsidR="00DC3250" w:rsidRPr="005A0A79" w:rsidRDefault="004D7879" w:rsidP="00534AFE">
      <w:pPr>
        <w:spacing w:after="120"/>
        <w:jc w:val="center"/>
        <w:rPr>
          <w:rFonts w:ascii="Times New Roman" w:hAnsi="Times New Roman" w:cs="Times New Roman"/>
          <w:b/>
          <w:bCs/>
          <w:sz w:val="24"/>
          <w:szCs w:val="24"/>
        </w:rPr>
      </w:pPr>
      <w:r w:rsidRPr="005A0A79">
        <w:rPr>
          <w:rFonts w:ascii="Times New Roman" w:hAnsi="Times New Roman" w:cs="Times New Roman"/>
          <w:b/>
          <w:bCs/>
          <w:sz w:val="24"/>
          <w:szCs w:val="24"/>
        </w:rPr>
        <w:t>ПО ПРОЦЕДУРА З</w:t>
      </w:r>
      <w:r w:rsidR="00E9145C" w:rsidRPr="005A0A79">
        <w:rPr>
          <w:rFonts w:ascii="Times New Roman" w:hAnsi="Times New Roman" w:cs="Times New Roman"/>
          <w:b/>
          <w:bCs/>
          <w:sz w:val="24"/>
          <w:szCs w:val="24"/>
        </w:rPr>
        <w:t>А</w:t>
      </w:r>
      <w:r w:rsidRPr="005A0A79">
        <w:rPr>
          <w:rFonts w:ascii="Times New Roman" w:hAnsi="Times New Roman" w:cs="Times New Roman"/>
          <w:b/>
          <w:bCs/>
          <w:sz w:val="24"/>
          <w:szCs w:val="24"/>
        </w:rPr>
        <w:t xml:space="preserve"> ПРЕДОСТАВЯНЕ НА БЕЗВЪЗМЕЗДНА ФИНАНСОВА ПОМОЩ </w:t>
      </w:r>
      <w:r w:rsidR="00E9145C" w:rsidRPr="005A0A79">
        <w:rPr>
          <w:rFonts w:ascii="Times New Roman" w:hAnsi="Times New Roman" w:cs="Times New Roman"/>
          <w:b/>
          <w:bCs/>
          <w:sz w:val="24"/>
          <w:szCs w:val="24"/>
        </w:rPr>
        <w:t xml:space="preserve">ЧРЕЗ ПОДБОР НА ПРОЕКТНИ ПРЕДЛОЖЕНИЯ </w:t>
      </w:r>
      <w:r w:rsidR="006C6EAE" w:rsidRPr="005A0A79">
        <w:rPr>
          <w:rFonts w:ascii="Times New Roman" w:hAnsi="Times New Roman" w:cs="Times New Roman"/>
          <w:b/>
          <w:bCs/>
          <w:sz w:val="24"/>
          <w:szCs w:val="24"/>
        </w:rPr>
        <w:t>BG05SFPR001-3.003 „ДОСТЪП НА УЯЗВИМИ ГРУПИ И НЕПЕДАГОГИЧЕСКИ ПЕРСОНАЛ ДО ВИСШЕ ОБРАЗОВАНИЕ"</w:t>
      </w:r>
    </w:p>
    <w:p w14:paraId="6185A756" w14:textId="5AC29AD7" w:rsidR="008F7BFB" w:rsidRPr="005A0A79" w:rsidRDefault="008F7BFB" w:rsidP="00534AFE">
      <w:pPr>
        <w:spacing w:after="120"/>
        <w:jc w:val="center"/>
        <w:rPr>
          <w:rFonts w:ascii="Times New Roman" w:hAnsi="Times New Roman" w:cs="Times New Roman"/>
          <w:b/>
          <w:bCs/>
          <w:sz w:val="24"/>
          <w:szCs w:val="24"/>
        </w:rPr>
      </w:pPr>
      <w:r w:rsidRPr="005A0A79">
        <w:rPr>
          <w:rFonts w:ascii="Times New Roman" w:hAnsi="Times New Roman" w:cs="Times New Roman"/>
          <w:b/>
          <w:bCs/>
          <w:sz w:val="24"/>
          <w:szCs w:val="24"/>
        </w:rPr>
        <w:t xml:space="preserve">към </w:t>
      </w:r>
      <w:r w:rsidR="009C7474" w:rsidRPr="005A0A79">
        <w:rPr>
          <w:rFonts w:ascii="Times New Roman" w:hAnsi="Times New Roman" w:cs="Times New Roman"/>
          <w:b/>
          <w:bCs/>
          <w:sz w:val="24"/>
          <w:szCs w:val="24"/>
        </w:rPr>
        <w:t>15</w:t>
      </w:r>
      <w:r w:rsidR="00B0638E" w:rsidRPr="005A0A79">
        <w:rPr>
          <w:rFonts w:ascii="Times New Roman" w:hAnsi="Times New Roman" w:cs="Times New Roman"/>
          <w:b/>
          <w:bCs/>
          <w:sz w:val="24"/>
          <w:szCs w:val="24"/>
        </w:rPr>
        <w:t>.</w:t>
      </w:r>
      <w:r w:rsidR="000E7ABA" w:rsidRPr="005A0A79">
        <w:rPr>
          <w:rFonts w:ascii="Times New Roman" w:hAnsi="Times New Roman" w:cs="Times New Roman"/>
          <w:b/>
          <w:bCs/>
          <w:sz w:val="24"/>
          <w:szCs w:val="24"/>
        </w:rPr>
        <w:t>01.</w:t>
      </w:r>
      <w:r w:rsidRPr="005A0A79">
        <w:rPr>
          <w:rFonts w:ascii="Times New Roman" w:hAnsi="Times New Roman" w:cs="Times New Roman"/>
          <w:b/>
          <w:bCs/>
          <w:sz w:val="24"/>
          <w:szCs w:val="24"/>
        </w:rPr>
        <w:t>202</w:t>
      </w:r>
      <w:r w:rsidR="000E7ABA" w:rsidRPr="005A0A79">
        <w:rPr>
          <w:rFonts w:ascii="Times New Roman" w:hAnsi="Times New Roman" w:cs="Times New Roman"/>
          <w:b/>
          <w:bCs/>
          <w:sz w:val="24"/>
          <w:szCs w:val="24"/>
        </w:rPr>
        <w:t>6</w:t>
      </w:r>
      <w:r w:rsidRPr="005A0A79">
        <w:rPr>
          <w:rFonts w:ascii="Times New Roman" w:hAnsi="Times New Roman" w:cs="Times New Roman"/>
          <w:b/>
          <w:bCs/>
          <w:sz w:val="24"/>
          <w:szCs w:val="24"/>
        </w:rPr>
        <w:t xml:space="preserve"> г.</w:t>
      </w:r>
    </w:p>
    <w:p w14:paraId="446CD432" w14:textId="08332989" w:rsidR="008F7BFB" w:rsidRPr="005A0A79" w:rsidRDefault="008F7BFB" w:rsidP="00E9145C">
      <w:pPr>
        <w:spacing w:after="0"/>
        <w:jc w:val="both"/>
        <w:rPr>
          <w:rFonts w:ascii="Times New Roman" w:hAnsi="Times New Roman" w:cs="Times New Roman"/>
          <w:b/>
          <w:bCs/>
          <w:sz w:val="24"/>
          <w:szCs w:val="24"/>
        </w:rPr>
      </w:pPr>
    </w:p>
    <w:p w14:paraId="2DCD29EA" w14:textId="77777777" w:rsidR="00792704" w:rsidRPr="005A0A79" w:rsidRDefault="00792704" w:rsidP="00E9145C">
      <w:pPr>
        <w:spacing w:after="0"/>
        <w:jc w:val="both"/>
        <w:rPr>
          <w:rFonts w:ascii="Times New Roman" w:hAnsi="Times New Roman" w:cs="Times New Roman"/>
          <w:b/>
          <w:bCs/>
          <w:sz w:val="24"/>
          <w:szCs w:val="24"/>
        </w:rPr>
      </w:pPr>
    </w:p>
    <w:p w14:paraId="653168CF" w14:textId="59F77BC8" w:rsidR="004B4516" w:rsidRPr="005A0A79" w:rsidRDefault="004B4516" w:rsidP="00534AFE">
      <w:pPr>
        <w:pStyle w:val="Heading2"/>
        <w:numPr>
          <w:ilvl w:val="0"/>
          <w:numId w:val="0"/>
        </w:numPr>
        <w:spacing w:after="120"/>
        <w:rPr>
          <w:lang w:val="bg-BG"/>
        </w:rPr>
      </w:pPr>
      <w:bookmarkStart w:id="2" w:name="_Hlk200618891"/>
      <w:r w:rsidRPr="005A0A79">
        <w:rPr>
          <w:lang w:val="bg-BG"/>
        </w:rPr>
        <w:t xml:space="preserve">ВЪПРОС </w:t>
      </w:r>
      <w:r w:rsidR="00612C10" w:rsidRPr="005A0A79">
        <w:rPr>
          <w:lang w:val="bg-BG"/>
        </w:rPr>
        <w:t>1</w:t>
      </w:r>
      <w:r w:rsidRPr="005A0A79">
        <w:rPr>
          <w:lang w:val="bg-BG"/>
        </w:rPr>
        <w:t xml:space="preserve"> от </w:t>
      </w:r>
      <w:r w:rsidR="00C05606" w:rsidRPr="005A0A79">
        <w:rPr>
          <w:lang w:val="bg-BG"/>
        </w:rPr>
        <w:t>0</w:t>
      </w:r>
      <w:r w:rsidR="006C6EAE" w:rsidRPr="005A0A79">
        <w:rPr>
          <w:lang w:val="bg-BG"/>
        </w:rPr>
        <w:t>4</w:t>
      </w:r>
      <w:r w:rsidR="004A725D" w:rsidRPr="005A0A79">
        <w:rPr>
          <w:lang w:val="bg-BG"/>
        </w:rPr>
        <w:t>.</w:t>
      </w:r>
      <w:r w:rsidR="006C6EAE" w:rsidRPr="005A0A79">
        <w:rPr>
          <w:lang w:val="bg-BG"/>
        </w:rPr>
        <w:t>10</w:t>
      </w:r>
      <w:r w:rsidR="004A725D" w:rsidRPr="005A0A79">
        <w:rPr>
          <w:lang w:val="bg-BG"/>
        </w:rPr>
        <w:t>.202</w:t>
      </w:r>
      <w:r w:rsidR="00E9145C" w:rsidRPr="005A0A79">
        <w:rPr>
          <w:lang w:val="bg-BG"/>
        </w:rPr>
        <w:t>5</w:t>
      </w:r>
      <w:r w:rsidR="004A725D" w:rsidRPr="005A0A79">
        <w:rPr>
          <w:lang w:val="bg-BG"/>
        </w:rPr>
        <w:t xml:space="preserve"> </w:t>
      </w:r>
      <w:r w:rsidRPr="005A0A79">
        <w:rPr>
          <w:lang w:val="bg-BG"/>
        </w:rPr>
        <w:t>г. (</w:t>
      </w:r>
      <w:r w:rsidR="00E61FDA" w:rsidRPr="005A0A79">
        <w:rPr>
          <w:lang w:val="bg-BG"/>
        </w:rPr>
        <w:t xml:space="preserve">Q001 </w:t>
      </w:r>
      <w:r w:rsidRPr="005A0A79">
        <w:rPr>
          <w:lang w:val="bg-BG"/>
        </w:rPr>
        <w:t>постъпил чрез ИСУН)</w:t>
      </w:r>
      <w:r w:rsidR="0002372F" w:rsidRPr="005A0A79">
        <w:rPr>
          <w:lang w:val="bg-BG"/>
        </w:rPr>
        <w:t>:</w:t>
      </w:r>
    </w:p>
    <w:bookmarkEnd w:id="1"/>
    <w:bookmarkEnd w:id="2"/>
    <w:p w14:paraId="31203AC1" w14:textId="493E3266" w:rsidR="00E866A2" w:rsidRPr="005A0A79" w:rsidRDefault="00E866A2">
      <w:pPr>
        <w:pBdr>
          <w:top w:val="single" w:sz="4" w:space="1" w:color="auto"/>
        </w:pBdr>
        <w:spacing w:before="120" w:after="120" w:line="240" w:lineRule="auto"/>
        <w:jc w:val="both"/>
        <w:rPr>
          <w:rFonts w:ascii="Times New Roman" w:hAnsi="Times New Roman" w:cs="Times New Roman"/>
          <w:sz w:val="24"/>
          <w:szCs w:val="24"/>
        </w:rPr>
      </w:pPr>
    </w:p>
    <w:p w14:paraId="1F29B53C"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Уважаеми дами и господа,</w:t>
      </w:r>
    </w:p>
    <w:p w14:paraId="1E1A8B14"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Във връзка с разясненията по текста:</w:t>
      </w:r>
    </w:p>
    <w:p w14:paraId="7B562E4B"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„В случай че в проектното предложение няма ВУ-партньор, индивидуалната помощ/сумата за менторство за студенти, участвали в дейност 2 по операцията, се предоставя от бенефициента – кандидат/партньор, който прехвърля необходимите средства към ВУ/ментора от ВУ, в което се обучава студентът от целевата група"</w:t>
      </w:r>
    </w:p>
    <w:p w14:paraId="343ADDA5"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Моля за уточнение относно следното:</w:t>
      </w:r>
    </w:p>
    <w:p w14:paraId="5155DA15"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Следва ли да се приема, че само студентите от целевата група, които са участвали в дейност 2 по операцията, са допустими за получаване на индивидуалната помощ/сумата за менторство, или тази помощ може да бъде предоставена на всички студенти от целевата група, независимо от участието им в дейност 2?</w:t>
      </w:r>
    </w:p>
    <w:p w14:paraId="659C3AFB"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С уважение!</w:t>
      </w:r>
    </w:p>
    <w:p w14:paraId="358FA9D8"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p>
    <w:p w14:paraId="63738434" w14:textId="77777777" w:rsidR="00B50A87" w:rsidRPr="005A0A79" w:rsidRDefault="00B50A87" w:rsidP="00B50A87">
      <w:pPr>
        <w:spacing w:after="0" w:line="240" w:lineRule="auto"/>
        <w:jc w:val="both"/>
        <w:rPr>
          <w:rFonts w:ascii="Times New Roman" w:eastAsia="Calibri" w:hAnsi="Times New Roman" w:cs="Times New Roman"/>
          <w:b/>
          <w:bCs/>
          <w:sz w:val="24"/>
          <w:szCs w:val="24"/>
          <w:lang w:eastAsia="en-GB"/>
        </w:rPr>
      </w:pPr>
      <w:r w:rsidRPr="005A0A79">
        <w:rPr>
          <w:rFonts w:ascii="Times New Roman" w:eastAsia="Calibri" w:hAnsi="Times New Roman" w:cs="Times New Roman"/>
          <w:b/>
          <w:bCs/>
          <w:sz w:val="24"/>
          <w:szCs w:val="24"/>
          <w:lang w:eastAsia="en-GB"/>
        </w:rPr>
        <w:t>ОТГОВОР:</w:t>
      </w:r>
    </w:p>
    <w:p w14:paraId="61A3BCB2"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В т. 13 „Дейности, допустими за финансиране“ от Условията за кандидатстване е посочено следното:</w:t>
      </w:r>
    </w:p>
    <w:p w14:paraId="618AD187" w14:textId="77777777" w:rsidR="00B50A87" w:rsidRPr="005A0A79" w:rsidRDefault="00B50A87" w:rsidP="00B50A87">
      <w:pPr>
        <w:pStyle w:val="ListParagraph"/>
        <w:numPr>
          <w:ilvl w:val="0"/>
          <w:numId w:val="28"/>
        </w:num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В случай че в проектното предложение</w:t>
      </w:r>
      <w:r w:rsidRPr="005A0A79">
        <w:rPr>
          <w:rFonts w:ascii="Times New Roman" w:eastAsia="Calibri" w:hAnsi="Times New Roman" w:cs="Times New Roman"/>
          <w:b/>
          <w:bCs/>
          <w:sz w:val="24"/>
          <w:szCs w:val="24"/>
          <w:lang w:eastAsia="en-GB"/>
        </w:rPr>
        <w:t xml:space="preserve"> </w:t>
      </w:r>
      <w:r w:rsidRPr="005A0A79">
        <w:rPr>
          <w:rFonts w:ascii="Times New Roman" w:eastAsia="Calibri" w:hAnsi="Times New Roman" w:cs="Times New Roman"/>
          <w:b/>
          <w:bCs/>
          <w:sz w:val="24"/>
          <w:szCs w:val="24"/>
          <w:u w:val="single"/>
          <w:lang w:eastAsia="en-GB"/>
        </w:rPr>
        <w:t>няма ВУ-партньор</w:t>
      </w:r>
      <w:r w:rsidRPr="005A0A79">
        <w:rPr>
          <w:rFonts w:ascii="Times New Roman" w:eastAsia="Calibri" w:hAnsi="Times New Roman" w:cs="Times New Roman"/>
          <w:b/>
          <w:bCs/>
          <w:sz w:val="24"/>
          <w:szCs w:val="24"/>
          <w:lang w:eastAsia="en-GB"/>
        </w:rPr>
        <w:t xml:space="preserve">, индивидуалната помощ/ сумата за менторство </w:t>
      </w:r>
      <w:r w:rsidRPr="005A0A79">
        <w:rPr>
          <w:rFonts w:ascii="Times New Roman" w:eastAsia="Calibri" w:hAnsi="Times New Roman" w:cs="Times New Roman"/>
          <w:b/>
          <w:bCs/>
          <w:sz w:val="24"/>
          <w:szCs w:val="24"/>
          <w:u w:val="single"/>
          <w:lang w:eastAsia="en-GB"/>
        </w:rPr>
        <w:t>за студенти, участвали в дейност 2</w:t>
      </w:r>
      <w:r w:rsidRPr="005A0A79">
        <w:rPr>
          <w:rFonts w:ascii="Times New Roman" w:eastAsia="Calibri" w:hAnsi="Times New Roman" w:cs="Times New Roman"/>
          <w:b/>
          <w:bCs/>
          <w:sz w:val="24"/>
          <w:szCs w:val="24"/>
          <w:lang w:eastAsia="en-GB"/>
        </w:rPr>
        <w:t xml:space="preserve"> по операцията, се предоставя от бенефициента – кандидат/партньор, който прехвърля необходимите средства към ВУ/ментора от ВУ, в което се обучава студентът от целевата група</w:t>
      </w:r>
      <w:r w:rsidRPr="005A0A79">
        <w:rPr>
          <w:rFonts w:ascii="Times New Roman" w:eastAsia="Calibri" w:hAnsi="Times New Roman" w:cs="Times New Roman"/>
          <w:sz w:val="24"/>
          <w:szCs w:val="24"/>
          <w:lang w:eastAsia="en-GB"/>
        </w:rPr>
        <w:t xml:space="preserve">. </w:t>
      </w:r>
    </w:p>
    <w:p w14:paraId="25951238"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p>
    <w:p w14:paraId="62E8B094" w14:textId="67D54015" w:rsidR="00B50A87" w:rsidRPr="005A0A79" w:rsidRDefault="00B50A87" w:rsidP="00B50A87">
      <w:pPr>
        <w:spacing w:after="0" w:line="240" w:lineRule="auto"/>
        <w:jc w:val="both"/>
        <w:rPr>
          <w:rFonts w:ascii="Times New Roman" w:eastAsia="Calibri" w:hAnsi="Times New Roman" w:cs="Times New Roman"/>
          <w:b/>
          <w:bCs/>
          <w:sz w:val="24"/>
          <w:szCs w:val="24"/>
          <w:lang w:eastAsia="en-GB"/>
        </w:rPr>
      </w:pPr>
      <w:r w:rsidRPr="005A0A79">
        <w:rPr>
          <w:rFonts w:ascii="Times New Roman" w:eastAsia="Calibri" w:hAnsi="Times New Roman" w:cs="Times New Roman"/>
          <w:sz w:val="24"/>
          <w:szCs w:val="24"/>
          <w:lang w:eastAsia="en-GB"/>
        </w:rPr>
        <w:t xml:space="preserve">Видно от гореизложеното, когато в проектното предложение няма ВУ-партньор, </w:t>
      </w:r>
      <w:r w:rsidRPr="005A0A79">
        <w:rPr>
          <w:rFonts w:ascii="Times New Roman" w:eastAsia="Calibri" w:hAnsi="Times New Roman" w:cs="Times New Roman"/>
          <w:b/>
          <w:bCs/>
          <w:sz w:val="24"/>
          <w:szCs w:val="24"/>
          <w:lang w:eastAsia="en-GB"/>
        </w:rPr>
        <w:t>само студентите първи/втори курс от целевата група, които са участвали в дейност 2 по процедурата, са допустими за получаване на индивидуална помощ/сума за менторство в рамките на дейност 3.</w:t>
      </w:r>
    </w:p>
    <w:p w14:paraId="7B0864A1" w14:textId="77777777" w:rsidR="009C7474" w:rsidRPr="005A0A79" w:rsidRDefault="009C7474" w:rsidP="00B50A87">
      <w:pPr>
        <w:spacing w:after="0" w:line="240" w:lineRule="auto"/>
        <w:jc w:val="both"/>
        <w:rPr>
          <w:rFonts w:ascii="Times New Roman" w:eastAsia="Calibri" w:hAnsi="Times New Roman" w:cs="Times New Roman"/>
          <w:b/>
          <w:bCs/>
          <w:sz w:val="24"/>
          <w:szCs w:val="24"/>
          <w:lang w:eastAsia="en-GB"/>
        </w:rPr>
      </w:pPr>
    </w:p>
    <w:p w14:paraId="127B7E78" w14:textId="046FD50C" w:rsidR="00B50A87" w:rsidRPr="005A0A79" w:rsidRDefault="00B50A87" w:rsidP="00B50A87">
      <w:pPr>
        <w:spacing w:after="0" w:line="240" w:lineRule="auto"/>
        <w:jc w:val="both"/>
        <w:rPr>
          <w:rFonts w:ascii="Times New Roman" w:eastAsia="Calibri" w:hAnsi="Times New Roman" w:cs="Times New Roman"/>
          <w:b/>
          <w:bCs/>
          <w:sz w:val="24"/>
          <w:szCs w:val="24"/>
          <w:lang w:eastAsia="en-GB"/>
        </w:rPr>
      </w:pPr>
    </w:p>
    <w:p w14:paraId="5584ADD8" w14:textId="77777777" w:rsidR="009C7474" w:rsidRPr="005A0A79" w:rsidRDefault="009C7474" w:rsidP="009C7474">
      <w:pPr>
        <w:keepNext/>
        <w:spacing w:after="240" w:line="240" w:lineRule="auto"/>
        <w:jc w:val="both"/>
        <w:outlineLvl w:val="1"/>
        <w:rPr>
          <w:rFonts w:ascii="Times New Roman" w:eastAsia="Times New Roman" w:hAnsi="Times New Roman" w:cs="Times New Roman"/>
          <w:b/>
          <w:sz w:val="24"/>
          <w:szCs w:val="20"/>
          <w:lang w:eastAsia="en-GB"/>
        </w:rPr>
      </w:pPr>
      <w:r w:rsidRPr="005A0A79">
        <w:rPr>
          <w:rFonts w:ascii="Times New Roman" w:eastAsia="Times New Roman" w:hAnsi="Times New Roman" w:cs="Times New Roman"/>
          <w:b/>
          <w:sz w:val="24"/>
          <w:szCs w:val="20"/>
          <w:lang w:eastAsia="en-GB"/>
        </w:rPr>
        <w:lastRenderedPageBreak/>
        <w:t>ВЪПРОС 2 от 10.10.2025 г. (Q002 постъпил чрез ИСУН):</w:t>
      </w:r>
    </w:p>
    <w:p w14:paraId="5E0E246A"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Уважаеми дами и господа,</w:t>
      </w:r>
    </w:p>
    <w:p w14:paraId="5F97D464"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1. В Условията за кандидатстване е записано, че „Кандидатстването във висше училище на учениците, участвали в Поддейност 2.1, е задължително, когато са положили успешно ДЗИ и получават диплома за средно образование.“ В същото време, в раздела за единични разходи (ТЕРЕС-ПО) е предвидена ставка от 120 лв. за лице, което е завършило обучението и се е явило на ДЗИ, но не се изисква да е кандидатствало във ВУ.</w:t>
      </w:r>
    </w:p>
    <w:p w14:paraId="5EBBF105"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2. Моля за уточнение дали завършил ученик, участвал по Поддейност 2.1, който се е явил на кандидатстудентски изпит, но не се е записал във висше училище, може ли впоследствие (в рамките на същия проект) да бъде включен като участник по Поддейност 2.2, при положение че отговаря на условията за тази дейност. Като допълнителното обучение по дейност 2.2 е различно от обучението по 2.1 и подготовка по 2.2 е насочена към нов опит за кандидатстване.</w:t>
      </w:r>
    </w:p>
    <w:p w14:paraId="6B1A2DD9"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3. Възможно ли е ученик, който е завършил средно образование и се е явил на ДЗИ, но не е кандидатствал във висше училище, да бъде включен впоследствие по Поддейност 2.2, ако в рамките на проекта реши да кандидатства?</w:t>
      </w:r>
    </w:p>
    <w:p w14:paraId="665DC049"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4. Допустимо ли е в обхвата на „непедагогически персонал“ по дейност 4 да бъдат включини и лица на срочни трудови договори към момента на изпълнение на проекта.</w:t>
      </w:r>
    </w:p>
    <w:p w14:paraId="35A6A46F"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Благодаря Ви предварително!</w:t>
      </w:r>
    </w:p>
    <w:p w14:paraId="54FF1016"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p>
    <w:p w14:paraId="58190D0F"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b/>
          <w:bCs/>
          <w:color w:val="000000"/>
          <w:sz w:val="24"/>
          <w:szCs w:val="24"/>
        </w:rPr>
      </w:pPr>
      <w:r w:rsidRPr="005A0A79">
        <w:rPr>
          <w:rFonts w:ascii="Times New Roman" w:eastAsia="Calibri" w:hAnsi="Times New Roman" w:cs="Times New Roman"/>
          <w:b/>
          <w:bCs/>
          <w:color w:val="000000"/>
          <w:sz w:val="24"/>
          <w:szCs w:val="24"/>
        </w:rPr>
        <w:t>ОТГОВОР:</w:t>
      </w:r>
    </w:p>
    <w:p w14:paraId="5416D5F5"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b/>
          <w:bCs/>
          <w:color w:val="000000"/>
          <w:sz w:val="24"/>
          <w:szCs w:val="24"/>
          <w:u w:val="single"/>
        </w:rPr>
      </w:pPr>
      <w:r w:rsidRPr="005A0A79">
        <w:rPr>
          <w:rFonts w:ascii="Times New Roman" w:eastAsia="Calibri" w:hAnsi="Times New Roman" w:cs="Times New Roman"/>
          <w:color w:val="000000"/>
          <w:sz w:val="24"/>
          <w:szCs w:val="24"/>
        </w:rPr>
        <w:t xml:space="preserve">1. Съгласно т. 14.2 „Допустими разходи“ към Условията за кандидатстване (УК): </w:t>
      </w:r>
      <w:r w:rsidRPr="005A0A79">
        <w:rPr>
          <w:rFonts w:ascii="Times New Roman" w:eastAsia="Calibri" w:hAnsi="Times New Roman" w:cs="Times New Roman"/>
          <w:i/>
          <w:iCs/>
          <w:color w:val="000000"/>
          <w:sz w:val="24"/>
          <w:szCs w:val="24"/>
        </w:rPr>
        <w:t xml:space="preserve">„Бенефициентът може да поиска от УО възстановяване на </w:t>
      </w:r>
      <w:bookmarkStart w:id="3" w:name="_Hlk211001069"/>
      <w:r w:rsidRPr="005A0A79">
        <w:rPr>
          <w:rFonts w:ascii="Times New Roman" w:eastAsia="Calibri" w:hAnsi="Times New Roman" w:cs="Times New Roman"/>
          <w:i/>
          <w:iCs/>
          <w:color w:val="000000"/>
          <w:sz w:val="24"/>
          <w:szCs w:val="24"/>
        </w:rPr>
        <w:t>сумата от 120 лв. в съответствие с единичен разход 1.121 от ТЕРЕС-ПО</w:t>
      </w:r>
      <w:bookmarkEnd w:id="3"/>
      <w:r w:rsidRPr="005A0A79">
        <w:rPr>
          <w:rFonts w:ascii="Times New Roman" w:eastAsia="Calibri" w:hAnsi="Times New Roman" w:cs="Times New Roman"/>
          <w:i/>
          <w:iCs/>
          <w:color w:val="000000"/>
          <w:sz w:val="24"/>
          <w:szCs w:val="24"/>
        </w:rPr>
        <w:t xml:space="preserve">, актуализиран в екселски файл Актуализация-ДВО (Приложение XI от УК) за </w:t>
      </w:r>
      <w:r w:rsidRPr="005A0A79">
        <w:rPr>
          <w:rFonts w:ascii="Times New Roman" w:eastAsia="Calibri" w:hAnsi="Times New Roman" w:cs="Times New Roman"/>
          <w:b/>
          <w:bCs/>
          <w:i/>
          <w:iCs/>
          <w:color w:val="000000"/>
          <w:sz w:val="24"/>
          <w:szCs w:val="24"/>
        </w:rPr>
        <w:t>всяко мотивирано лице</w:t>
      </w:r>
      <w:r w:rsidRPr="005A0A79">
        <w:rPr>
          <w:rFonts w:ascii="Times New Roman" w:eastAsia="Calibri" w:hAnsi="Times New Roman" w:cs="Times New Roman"/>
          <w:i/>
          <w:iCs/>
          <w:color w:val="000000"/>
          <w:sz w:val="24"/>
          <w:szCs w:val="24"/>
        </w:rPr>
        <w:t xml:space="preserve"> от целевата група - ученици от уязвими групи от втори гимназиален етап на средното образование, което е започнало участието си в допълнително обучение по Дейност 2, поддейност 2.1., </w:t>
      </w:r>
      <w:bookmarkStart w:id="4" w:name="_Hlk211001258"/>
      <w:r w:rsidRPr="005A0A79">
        <w:rPr>
          <w:rFonts w:ascii="Times New Roman" w:eastAsia="Calibri" w:hAnsi="Times New Roman" w:cs="Times New Roman"/>
          <w:b/>
          <w:bCs/>
          <w:i/>
          <w:iCs/>
          <w:color w:val="000000"/>
          <w:sz w:val="24"/>
          <w:szCs w:val="24"/>
        </w:rPr>
        <w:t>завършило е обучението с присъствия в най-малко 80 % от всички учебни часове</w:t>
      </w:r>
      <w:r w:rsidRPr="005A0A79">
        <w:rPr>
          <w:rFonts w:ascii="Times New Roman" w:eastAsia="Calibri" w:hAnsi="Times New Roman" w:cs="Times New Roman"/>
          <w:i/>
          <w:iCs/>
          <w:color w:val="000000"/>
          <w:sz w:val="24"/>
          <w:szCs w:val="24"/>
        </w:rPr>
        <w:t xml:space="preserve"> </w:t>
      </w:r>
      <w:r w:rsidRPr="005A0A79">
        <w:rPr>
          <w:rFonts w:ascii="Times New Roman" w:eastAsia="Calibri" w:hAnsi="Times New Roman" w:cs="Times New Roman"/>
          <w:b/>
          <w:bCs/>
          <w:i/>
          <w:iCs/>
          <w:color w:val="000000"/>
          <w:sz w:val="24"/>
          <w:szCs w:val="24"/>
          <w:u w:val="single"/>
        </w:rPr>
        <w:t>и се е явило на ДЗИ</w:t>
      </w:r>
      <w:bookmarkEnd w:id="4"/>
      <w:r w:rsidRPr="005A0A79">
        <w:rPr>
          <w:rFonts w:ascii="Times New Roman" w:eastAsia="Calibri" w:hAnsi="Times New Roman" w:cs="Times New Roman"/>
          <w:b/>
          <w:bCs/>
          <w:i/>
          <w:iCs/>
          <w:color w:val="000000"/>
          <w:sz w:val="24"/>
          <w:szCs w:val="24"/>
          <w:u w:val="single"/>
        </w:rPr>
        <w:t>.“</w:t>
      </w:r>
      <w:r w:rsidRPr="005A0A79">
        <w:rPr>
          <w:rFonts w:ascii="Times New Roman" w:eastAsia="Calibri" w:hAnsi="Times New Roman" w:cs="Times New Roman"/>
          <w:color w:val="000000"/>
          <w:sz w:val="24"/>
          <w:szCs w:val="24"/>
        </w:rPr>
        <w:t xml:space="preserve"> Обръщаме внимание, че за да е допустимо възстановяването на посочената сума, ученикът трябва да покрие всички цитирани изисквания, последното от които е да се е явил на ДЗИ. </w:t>
      </w:r>
      <w:r w:rsidRPr="005A0A79">
        <w:rPr>
          <w:rFonts w:ascii="Times New Roman" w:eastAsia="Calibri" w:hAnsi="Times New Roman" w:cs="Times New Roman"/>
          <w:b/>
          <w:bCs/>
          <w:color w:val="000000"/>
          <w:sz w:val="24"/>
          <w:szCs w:val="24"/>
        </w:rPr>
        <w:t xml:space="preserve">Указанията относно прилагането на единичен разход 1.121 от ТЕРЕС-ПО </w:t>
      </w:r>
      <w:r w:rsidRPr="005A0A79">
        <w:rPr>
          <w:rFonts w:ascii="Times New Roman" w:eastAsia="Calibri" w:hAnsi="Times New Roman" w:cs="Times New Roman"/>
          <w:b/>
          <w:bCs/>
          <w:color w:val="000000"/>
          <w:sz w:val="24"/>
          <w:szCs w:val="24"/>
          <w:u w:val="single"/>
        </w:rPr>
        <w:t xml:space="preserve">не съдържат условие ученикът да е взел успешно ДЗИ. </w:t>
      </w:r>
    </w:p>
    <w:p w14:paraId="0B1B0C39"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В случай че ученик, който е участвал в допълнително обучение по поддейност 2.1., след приключване на обучението </w:t>
      </w:r>
      <w:r w:rsidRPr="005A0A79">
        <w:rPr>
          <w:rFonts w:ascii="Times New Roman" w:eastAsia="Calibri" w:hAnsi="Times New Roman" w:cs="Times New Roman"/>
          <w:b/>
          <w:bCs/>
          <w:color w:val="000000"/>
          <w:sz w:val="24"/>
          <w:szCs w:val="24"/>
        </w:rPr>
        <w:t>е взел успешно ДЗИ</w:t>
      </w:r>
      <w:r w:rsidRPr="005A0A79">
        <w:rPr>
          <w:rFonts w:ascii="Times New Roman" w:eastAsia="Calibri" w:hAnsi="Times New Roman" w:cs="Times New Roman"/>
          <w:color w:val="000000"/>
          <w:sz w:val="24"/>
          <w:szCs w:val="24"/>
        </w:rPr>
        <w:t xml:space="preserve">, тогава се прилагат следните единични разходи: </w:t>
      </w:r>
    </w:p>
    <w:p w14:paraId="27B08F9F"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 Бенефициентът може да поиска от УО възстановяване на сумата от 135 лв. в съответствие с единичен разход 1.122 от ТЕРЕС-ПО, актуализиран в екселски файл Актуализация-ДВО (Приложение XI от Условията за кандидатстване), за всяко мотивирано лице от целевата група - ученици от уязвими групи от втори гимназиален етап на средното образование, което е участвало в допълнително обучение по Дейност 2, поддейност 2.1., след приключване на обучението е взело успешно ДЗИ и се е явило на кандидат-студентски изпит/и, но не се е записало първи курс на обучение във Висше училище . </w:t>
      </w:r>
    </w:p>
    <w:p w14:paraId="3B8280FB"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 Бенефициентът може да поиска от УО възстановяване на сумата от 150 лв. в съответствие с единичен разход 1.124 от ТЕРЕС-ПО, актуализиран в екселски файл </w:t>
      </w:r>
      <w:r w:rsidRPr="005A0A79">
        <w:rPr>
          <w:rFonts w:ascii="Times New Roman" w:eastAsia="Calibri" w:hAnsi="Times New Roman" w:cs="Times New Roman"/>
          <w:color w:val="000000"/>
          <w:sz w:val="24"/>
          <w:szCs w:val="24"/>
        </w:rPr>
        <w:lastRenderedPageBreak/>
        <w:t>Актуализация-ДВО (Приложение XI от Условията за кандидатстване) за всяко мотивирано лице от целевата група - ученици от уязвими групи от втори гимназиален етап на средното образование, което е участвало в допълнително обучение по Дейност 2, Поддейност 2.1. и след приключване на обучението, е взело успешно ДЗИ и/или се е явило на кандидат-студентски изпит/и и се е записало за обучение във висше училище.</w:t>
      </w:r>
    </w:p>
    <w:p w14:paraId="189AFC32"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2. От въпроса не става ясно дали се касае за ученик, участвал по Поддейност 2.1, който се е явил на кандидатстудентски изпит, но не го е издържал или е издържал успешно изпита, но след това не се е записал във висшето училище. Логиката на настоящата процедура е учениците от уязвими групи да бъдат мотивирани да продължат обучението си за придобиване на образователно-квалификационна степен от висшето образование, вкл. да се запишат във ВУ след успешно издържан изпит. </w:t>
      </w:r>
    </w:p>
    <w:p w14:paraId="0CC9C9EE"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На стр. 41 от Условията за кандидатстване (УК), под черта е посочено следното за целите на процедурата: „</w:t>
      </w:r>
      <w:r w:rsidRPr="005A0A79">
        <w:rPr>
          <w:rFonts w:ascii="Times New Roman" w:eastAsia="Calibri" w:hAnsi="Times New Roman" w:cs="Times New Roman"/>
          <w:i/>
          <w:iCs/>
          <w:color w:val="000000"/>
          <w:sz w:val="24"/>
          <w:szCs w:val="24"/>
        </w:rPr>
        <w:t xml:space="preserve">Лицето не е записало първи курс във ВУ, поради причини като: получена слаба оценка на ДЗИ или кандидат-студентски изпити, или е получило оценка различна от слаб (2), но не е достигнало бала на съответния кандидат-студент за желаните специалности във ВУ, или е прието за обучение във ВУ, но </w:t>
      </w:r>
      <w:r w:rsidRPr="005A0A79">
        <w:rPr>
          <w:rFonts w:ascii="Times New Roman" w:eastAsia="Calibri" w:hAnsi="Times New Roman" w:cs="Times New Roman"/>
          <w:b/>
          <w:bCs/>
          <w:i/>
          <w:iCs/>
          <w:color w:val="000000"/>
          <w:sz w:val="24"/>
          <w:szCs w:val="24"/>
        </w:rPr>
        <w:t>поради някаква причина не се е записало за първи курс на обучение</w:t>
      </w:r>
      <w:r w:rsidRPr="005A0A79">
        <w:rPr>
          <w:rFonts w:ascii="Times New Roman" w:eastAsia="Calibri" w:hAnsi="Times New Roman" w:cs="Times New Roman"/>
          <w:i/>
          <w:iCs/>
          <w:color w:val="000000"/>
          <w:sz w:val="24"/>
          <w:szCs w:val="24"/>
        </w:rPr>
        <w:t>.</w:t>
      </w:r>
      <w:r w:rsidRPr="005A0A79">
        <w:rPr>
          <w:rFonts w:ascii="Times New Roman" w:eastAsia="Calibri" w:hAnsi="Times New Roman" w:cs="Times New Roman"/>
          <w:color w:val="000000"/>
          <w:sz w:val="24"/>
          <w:szCs w:val="24"/>
        </w:rPr>
        <w:t xml:space="preserve">“. В тази връзка, УК не поставят задължително изискване за записване във ВУ на участник, преминал допълнително обучение по поддейност 2.1 и кандидатствал във ВУ с признаване на оценките от ДЗИ или чрез полагане на кандидат-студентски изпит по учебен предмет, по който са получили допълнителни обучения. </w:t>
      </w:r>
    </w:p>
    <w:p w14:paraId="3454790B"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b/>
          <w:bCs/>
          <w:color w:val="000000"/>
          <w:sz w:val="24"/>
          <w:szCs w:val="24"/>
        </w:rPr>
      </w:pPr>
      <w:r w:rsidRPr="005A0A79">
        <w:rPr>
          <w:rFonts w:ascii="Times New Roman" w:eastAsia="Calibri" w:hAnsi="Times New Roman" w:cs="Times New Roman"/>
          <w:color w:val="000000"/>
          <w:sz w:val="24"/>
          <w:szCs w:val="24"/>
        </w:rPr>
        <w:t xml:space="preserve">С оглед гореизложеното не съществува пречка ученик, участвал по поддейност 2.1, който успешно е положил ДЗИ, взел е диплома за средно образование и се е явил на кандидатстудентски изпит, но не се е записал във висше училище, в рамките на същия проект да получи индивидуална помощ за участие в опреснителни (кандидатстудентски) курсове по поддейност 2.2 с цел нов опит за кандидатстване във ВУ , при положение че отговаря на условията за тази поддейност. Обръщаме внимание, че при отчитането на всички индикатори за изпълнение и резултат по процедурата, се прилага правилото, че </w:t>
      </w:r>
      <w:r w:rsidRPr="005A0A79">
        <w:rPr>
          <w:rFonts w:ascii="Times New Roman" w:eastAsia="Calibri" w:hAnsi="Times New Roman" w:cs="Times New Roman"/>
          <w:b/>
          <w:bCs/>
          <w:color w:val="000000"/>
          <w:sz w:val="24"/>
          <w:szCs w:val="24"/>
        </w:rPr>
        <w:t>едно лице се брои еднократно, независимо в колко дейности е участвало.</w:t>
      </w:r>
    </w:p>
    <w:p w14:paraId="27B45CB6"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Обръщаме внимание, че поддейност 2.2. предвижда предоставяне на индивидуална помощ на лица и младежи от уязвими групи със завършено средно образование за обучения за опресняване на знанията (кандидат-студентски курсове) по учебни предмети, с които ще кандидатстват във висше училище</w:t>
      </w:r>
      <w:r w:rsidRPr="005A0A79">
        <w:rPr>
          <w:rFonts w:ascii="Times New Roman" w:eastAsia="Calibri" w:hAnsi="Times New Roman" w:cs="Times New Roman"/>
          <w:b/>
          <w:bCs/>
          <w:color w:val="000000"/>
          <w:sz w:val="24"/>
          <w:szCs w:val="24"/>
        </w:rPr>
        <w:t xml:space="preserve"> </w:t>
      </w:r>
      <w:r w:rsidRPr="005A0A79">
        <w:rPr>
          <w:rFonts w:ascii="Times New Roman" w:eastAsia="Calibri" w:hAnsi="Times New Roman" w:cs="Times New Roman"/>
          <w:b/>
          <w:bCs/>
          <w:color w:val="000000"/>
          <w:sz w:val="24"/>
          <w:szCs w:val="24"/>
          <w:u w:val="single"/>
        </w:rPr>
        <w:t>чрез полагане на кандидат-студентски изпит</w:t>
      </w:r>
      <w:r w:rsidRPr="005A0A79">
        <w:rPr>
          <w:rFonts w:ascii="Times New Roman" w:eastAsia="Calibri" w:hAnsi="Times New Roman" w:cs="Times New Roman"/>
          <w:b/>
          <w:bCs/>
          <w:color w:val="000000"/>
          <w:sz w:val="24"/>
          <w:szCs w:val="24"/>
        </w:rPr>
        <w:t xml:space="preserve">. Кандидатстването във ВУ чрез полагане на кандидат-студентски изпит по учебния предмет, по който лицето е получило подкрепа за обучение в Поддейност 2.2, е задължително.  </w:t>
      </w:r>
    </w:p>
    <w:p w14:paraId="4D55710E"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3. Въпросът не е напълно ясен. Съгласно т. 13 „Дейности, допустими за финансиране“ от УК поддейност 2.2. предвижда подкрепа за обучения на </w:t>
      </w:r>
      <w:r w:rsidRPr="005A0A79">
        <w:rPr>
          <w:rFonts w:ascii="Times New Roman" w:eastAsia="Calibri" w:hAnsi="Times New Roman" w:cs="Times New Roman"/>
          <w:b/>
          <w:bCs/>
          <w:color w:val="000000"/>
          <w:sz w:val="24"/>
          <w:szCs w:val="24"/>
        </w:rPr>
        <w:t xml:space="preserve">лица и младежи от уязвими групи </w:t>
      </w:r>
      <w:r w:rsidRPr="005A0A79">
        <w:rPr>
          <w:rFonts w:ascii="Times New Roman" w:eastAsia="Calibri" w:hAnsi="Times New Roman" w:cs="Times New Roman"/>
          <w:b/>
          <w:bCs/>
          <w:color w:val="000000"/>
          <w:sz w:val="24"/>
          <w:szCs w:val="24"/>
          <w:u w:val="single"/>
        </w:rPr>
        <w:t>със завършено средно образование</w:t>
      </w:r>
      <w:r w:rsidRPr="005A0A79">
        <w:rPr>
          <w:rFonts w:ascii="Times New Roman" w:eastAsia="Calibri" w:hAnsi="Times New Roman" w:cs="Times New Roman"/>
          <w:color w:val="000000"/>
          <w:sz w:val="24"/>
          <w:szCs w:val="24"/>
        </w:rPr>
        <w:t xml:space="preserve"> за опресняване на знанията им по учебни предмети, с които ще кандидатстват във висше училище чрез полагане на кандидат-студентски изпит. </w:t>
      </w:r>
    </w:p>
    <w:p w14:paraId="61DF161A"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Моля уточнете дали ученикът от въпроса по т. 3 е преминал обучение по поддейност 2.1 в рамките на проекта, в резултат на което е завършил средно образование след успешно положен ДЗИ, но не е кандидатствал във висше училище. Обръщаме внимание, че </w:t>
      </w:r>
      <w:r w:rsidRPr="005A0A79">
        <w:rPr>
          <w:rFonts w:ascii="Times New Roman" w:eastAsia="Calibri" w:hAnsi="Times New Roman" w:cs="Times New Roman"/>
          <w:b/>
          <w:bCs/>
          <w:color w:val="000000"/>
          <w:sz w:val="24"/>
          <w:szCs w:val="24"/>
        </w:rPr>
        <w:t>кандидатстването във висше училище на учениците, участвали в поддейност 2.1, е задължително, когато са положили успешно ДЗИ и получават диплома за средно образование.</w:t>
      </w:r>
      <w:r w:rsidRPr="005A0A79">
        <w:rPr>
          <w:rFonts w:ascii="Times New Roman" w:eastAsia="Calibri" w:hAnsi="Times New Roman" w:cs="Times New Roman"/>
          <w:color w:val="000000"/>
          <w:sz w:val="24"/>
          <w:szCs w:val="24"/>
        </w:rPr>
        <w:t xml:space="preserve"> В този смисъл ако ученикът от въпроса по т. 3 попада в гореописаната хипотеза това би представлявало неизпълнение на цитираното задължително изискване </w:t>
      </w:r>
      <w:r w:rsidRPr="005A0A79">
        <w:rPr>
          <w:rFonts w:ascii="Times New Roman" w:eastAsia="Calibri" w:hAnsi="Times New Roman" w:cs="Times New Roman"/>
          <w:color w:val="000000"/>
          <w:sz w:val="24"/>
          <w:szCs w:val="24"/>
        </w:rPr>
        <w:lastRenderedPageBreak/>
        <w:t>за кандидатстване във висше училище на учениците, участвали в поддейност 2.1, когато са положили успешно ДЗИ и получават диплома за средно образование. В случай че ученикът от въпроса по т. 3 не е бил подкрепен по поддейност 2.1 и отговаря на допустимите целеви групи и изискванията по поддейност 2.2, няма пречка да бъде подкрепен по поддейност 2.2.</w:t>
      </w:r>
    </w:p>
    <w:p w14:paraId="465FD27D"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4. Съгласно т. 13 „Дейности, допустими за финансиране“ от УК </w:t>
      </w:r>
      <w:r w:rsidRPr="005A0A79">
        <w:rPr>
          <w:rFonts w:ascii="Times New Roman" w:eastAsia="Calibri" w:hAnsi="Times New Roman" w:cs="Times New Roman"/>
          <w:b/>
          <w:bCs/>
          <w:color w:val="000000"/>
          <w:sz w:val="24"/>
          <w:szCs w:val="24"/>
        </w:rPr>
        <w:t>образователните медиатори/помощник на учителя, които участват в дейност 4, следва</w:t>
      </w:r>
      <w:r w:rsidRPr="005A0A79">
        <w:rPr>
          <w:rFonts w:ascii="Times New Roman" w:eastAsia="Calibri" w:hAnsi="Times New Roman" w:cs="Times New Roman"/>
          <w:color w:val="000000"/>
          <w:sz w:val="24"/>
          <w:szCs w:val="24"/>
        </w:rPr>
        <w:t xml:space="preserve"> </w:t>
      </w:r>
      <w:r w:rsidRPr="005A0A79">
        <w:rPr>
          <w:rFonts w:ascii="Times New Roman" w:eastAsia="Calibri" w:hAnsi="Times New Roman" w:cs="Times New Roman"/>
          <w:b/>
          <w:bCs/>
          <w:color w:val="000000"/>
          <w:sz w:val="24"/>
          <w:szCs w:val="24"/>
          <w:u w:val="single"/>
        </w:rPr>
        <w:t>да са назначени в училище, детска градина или в община</w:t>
      </w:r>
      <w:r w:rsidRPr="005A0A79">
        <w:rPr>
          <w:rFonts w:ascii="Times New Roman" w:eastAsia="Calibri" w:hAnsi="Times New Roman" w:cs="Times New Roman"/>
          <w:color w:val="000000"/>
          <w:sz w:val="24"/>
          <w:szCs w:val="24"/>
          <w:u w:val="single"/>
        </w:rPr>
        <w:t>.</w:t>
      </w:r>
      <w:r w:rsidRPr="005A0A79">
        <w:rPr>
          <w:rFonts w:ascii="Times New Roman" w:eastAsia="Calibri" w:hAnsi="Times New Roman" w:cs="Times New Roman"/>
          <w:color w:val="000000"/>
          <w:sz w:val="24"/>
          <w:szCs w:val="24"/>
        </w:rPr>
        <w:t xml:space="preserve"> В дейност 4 могат да участват както образователни медиатори/помощници на учителя, които работят в училище – кандидат/партньор по проекта, така и образователни медиатори/помощник на учителя, които работят в друго училище, което не е кандидат/партньор по проектното предложение, в детска градина или в община. Условията за кандидатстване не налагат изрична забрана по отношение на срочността на трудовия договора на въпросните лица. Въпреки това срокът, за който е сключен срочния трудов договор на участник в дейност 4,  следва да е не по-кратък от целия период на участието на лицето в изпълнението на дейност 4 по проекта.</w:t>
      </w:r>
    </w:p>
    <w:p w14:paraId="651AE697" w14:textId="15F589CB"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b/>
          <w:bCs/>
          <w:color w:val="000000"/>
          <w:sz w:val="24"/>
          <w:szCs w:val="24"/>
        </w:rPr>
      </w:pPr>
      <w:r w:rsidRPr="005A0A79">
        <w:rPr>
          <w:rFonts w:ascii="Times New Roman" w:eastAsia="Calibri" w:hAnsi="Times New Roman" w:cs="Times New Roman"/>
          <w:color w:val="000000"/>
          <w:sz w:val="24"/>
          <w:szCs w:val="24"/>
        </w:rPr>
        <w:t>Обръщаме внимание, че за целите на настоящата процедура образователни медиатори и помощник на учителя са</w:t>
      </w:r>
      <w:r w:rsidRPr="005A0A79">
        <w:rPr>
          <w:rFonts w:ascii="Times New Roman" w:eastAsia="Calibri" w:hAnsi="Times New Roman" w:cs="Times New Roman"/>
          <w:b/>
          <w:bCs/>
          <w:color w:val="000000"/>
          <w:sz w:val="24"/>
          <w:szCs w:val="24"/>
        </w:rPr>
        <w:t xml:space="preserve"> лица, назначени в образователни институции (училища и детски градини) или общини – съответно на </w:t>
      </w:r>
      <w:r w:rsidRPr="005A0A79">
        <w:rPr>
          <w:rFonts w:ascii="Times New Roman" w:eastAsia="Calibri" w:hAnsi="Times New Roman" w:cs="Times New Roman"/>
          <w:b/>
          <w:bCs/>
          <w:color w:val="000000"/>
          <w:sz w:val="24"/>
          <w:szCs w:val="24"/>
          <w:u w:val="single"/>
        </w:rPr>
        <w:t>длъжност 5312-3004 – Образователен медиатор и длъжност 5312-3001 – Помощник на учителя</w:t>
      </w:r>
      <w:r w:rsidRPr="005A0A79">
        <w:rPr>
          <w:rFonts w:ascii="Times New Roman" w:eastAsia="Calibri" w:hAnsi="Times New Roman" w:cs="Times New Roman"/>
          <w:b/>
          <w:bCs/>
          <w:color w:val="000000"/>
          <w:sz w:val="24"/>
          <w:szCs w:val="24"/>
        </w:rPr>
        <w:t>, съгласно Националния класификатор на професиите и длъжностите (НКПД 2011).</w:t>
      </w:r>
    </w:p>
    <w:p w14:paraId="07B3E413" w14:textId="77777777" w:rsidR="005A0A79" w:rsidRPr="005A0A79" w:rsidRDefault="005A0A79" w:rsidP="009C7474">
      <w:pPr>
        <w:pBdr>
          <w:top w:val="single" w:sz="4" w:space="1" w:color="auto"/>
        </w:pBdr>
        <w:spacing w:before="120" w:after="120" w:line="240" w:lineRule="auto"/>
        <w:jc w:val="both"/>
        <w:rPr>
          <w:rFonts w:ascii="Times New Roman" w:eastAsia="Calibri" w:hAnsi="Times New Roman" w:cs="Times New Roman"/>
          <w:b/>
          <w:bCs/>
          <w:color w:val="000000"/>
          <w:sz w:val="24"/>
          <w:szCs w:val="24"/>
        </w:rPr>
      </w:pPr>
    </w:p>
    <w:p w14:paraId="25A3EA4B" w14:textId="77777777" w:rsidR="005A0A79" w:rsidRPr="005A0A79" w:rsidRDefault="005A0A79" w:rsidP="005A0A79">
      <w:pPr>
        <w:keepNext/>
        <w:spacing w:after="240" w:line="240" w:lineRule="auto"/>
        <w:jc w:val="both"/>
        <w:outlineLvl w:val="1"/>
        <w:rPr>
          <w:rFonts w:ascii="Times New Roman" w:eastAsia="Times New Roman" w:hAnsi="Times New Roman" w:cs="Times New Roman"/>
          <w:b/>
          <w:sz w:val="24"/>
          <w:szCs w:val="20"/>
          <w:lang w:eastAsia="en-GB"/>
        </w:rPr>
      </w:pPr>
      <w:r w:rsidRPr="005A0A79">
        <w:rPr>
          <w:rFonts w:ascii="Times New Roman" w:eastAsia="Times New Roman" w:hAnsi="Times New Roman" w:cs="Times New Roman"/>
          <w:b/>
          <w:sz w:val="24"/>
          <w:szCs w:val="20"/>
          <w:lang w:eastAsia="en-GB"/>
        </w:rPr>
        <w:t>ВЪПРОС 3 от 10.01.2026 г. (Q003 постъпил чрез ИСУН):</w:t>
      </w:r>
    </w:p>
    <w:p w14:paraId="1C5FF51F"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Въпрос относно допустимостта на народните читалища по процедурата</w:t>
      </w:r>
    </w:p>
    <w:p w14:paraId="284B70BE"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На основание публикуваните Условия за кандидатстване по процедурата „Подкрепа на уязвими групи за достъп до висше образование“, моля за разяснение относно статута на народните читалища, регистрирани като юридически лица с нестопанска цел в обществена полза по реда на ЗЮЛНЦ.</w:t>
      </w:r>
    </w:p>
    <w:p w14:paraId="7130F1A0"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Конкретно, моля да бъде уточнено:</w:t>
      </w:r>
    </w:p>
    <w:p w14:paraId="7DB287B3"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1. Допустими ли са народните читалища като кандидати (бенефициенти) по процедурата, при условие че:</w:t>
      </w:r>
    </w:p>
    <w:p w14:paraId="450CD28A"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са регистрирани като ЮЛНЦ в обществена полза;</w:t>
      </w:r>
    </w:p>
    <w:p w14:paraId="17F5E35C"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имат най-малко 2 години доказуем опит в образователни дейности и/или работа с уязвими групи;</w:t>
      </w:r>
    </w:p>
    <w:p w14:paraId="4F1FF120"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отговарят на изискванията за прилагане на режим „минимална помощ“ (de minimis) по отношение на допустимите за тях дейности;</w:t>
      </w:r>
    </w:p>
    <w:p w14:paraId="17723504"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2. В случай че народните читалища не са допустими като кандидати, допустимо ли е тяхното участие като партньори по проектни предложения, подадени от други допустими кандидати, и при какви условия;</w:t>
      </w:r>
    </w:p>
    <w:p w14:paraId="13688C82"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3. Има ли специфични ограничения или допълнителни изисквания, произтичащи от Закона за народните читалища, които следва да бъдат съобразени при участието им като кандидат или партньор по настоящата процедура.</w:t>
      </w:r>
    </w:p>
    <w:p w14:paraId="22F2038F" w14:textId="66AD2EF0"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Разяснението е необходимо с цел коректно планиране на проектното предложение и недопускане на несъответствие с критериите за допустимост.</w:t>
      </w:r>
    </w:p>
    <w:p w14:paraId="1F0CD6D2"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b/>
          <w:bCs/>
          <w:color w:val="000000"/>
          <w:sz w:val="24"/>
          <w:szCs w:val="24"/>
        </w:rPr>
      </w:pPr>
      <w:r w:rsidRPr="005A0A79">
        <w:rPr>
          <w:rFonts w:ascii="Times New Roman" w:eastAsia="Calibri" w:hAnsi="Times New Roman" w:cs="Times New Roman"/>
          <w:b/>
          <w:bCs/>
          <w:color w:val="000000"/>
          <w:sz w:val="24"/>
          <w:szCs w:val="24"/>
        </w:rPr>
        <w:lastRenderedPageBreak/>
        <w:t>ОТГОВОР:</w:t>
      </w:r>
    </w:p>
    <w:p w14:paraId="4A99FD65"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1. Съгласно т. 11 „Допустими кандидати“ към Условията за кандидатстване (УК):</w:t>
      </w:r>
    </w:p>
    <w:p w14:paraId="109AF3FF"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„ЮЛНЦ – допустими по настоящата процедура следва:</w:t>
      </w:r>
    </w:p>
    <w:p w14:paraId="238F2B1F"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 да са регистрирани по реда на ЗЮЛНЦ като юридически лица с нестопанска цел за осъществяване на </w:t>
      </w:r>
      <w:r w:rsidRPr="005A0A79">
        <w:rPr>
          <w:rFonts w:ascii="Times New Roman" w:eastAsia="Calibri" w:hAnsi="Times New Roman" w:cs="Times New Roman"/>
          <w:b/>
          <w:bCs/>
          <w:i/>
          <w:iCs/>
          <w:color w:val="000000"/>
          <w:sz w:val="24"/>
          <w:szCs w:val="24"/>
        </w:rPr>
        <w:t>дейност в обществена полза</w:t>
      </w:r>
      <w:r w:rsidRPr="005A0A79">
        <w:rPr>
          <w:rFonts w:ascii="Times New Roman" w:eastAsia="Calibri" w:hAnsi="Times New Roman" w:cs="Times New Roman"/>
          <w:i/>
          <w:iCs/>
          <w:color w:val="000000"/>
          <w:sz w:val="24"/>
          <w:szCs w:val="24"/>
        </w:rPr>
        <w:t xml:space="preserve"> </w:t>
      </w:r>
    </w:p>
    <w:p w14:paraId="4676018E"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b/>
          <w:bCs/>
          <w:i/>
          <w:iCs/>
          <w:color w:val="000000"/>
          <w:sz w:val="24"/>
          <w:szCs w:val="24"/>
        </w:rPr>
      </w:pPr>
      <w:r w:rsidRPr="005A0A79">
        <w:rPr>
          <w:rFonts w:ascii="Times New Roman" w:eastAsia="Calibri" w:hAnsi="Times New Roman" w:cs="Times New Roman"/>
          <w:i/>
          <w:iCs/>
          <w:color w:val="000000"/>
          <w:sz w:val="24"/>
          <w:szCs w:val="24"/>
        </w:rPr>
        <w:t xml:space="preserve">- с </w:t>
      </w:r>
      <w:r w:rsidRPr="005A0A79">
        <w:rPr>
          <w:rFonts w:ascii="Times New Roman" w:eastAsia="Calibri" w:hAnsi="Times New Roman" w:cs="Times New Roman"/>
          <w:b/>
          <w:bCs/>
          <w:i/>
          <w:iCs/>
          <w:color w:val="000000"/>
          <w:sz w:val="24"/>
          <w:szCs w:val="24"/>
        </w:rPr>
        <w:t xml:space="preserve">цели и предмет на дейност в сферата на образованието и/или работата с уязвими групи и </w:t>
      </w:r>
    </w:p>
    <w:p w14:paraId="38266E64"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b/>
          <w:bCs/>
          <w:i/>
          <w:iCs/>
          <w:color w:val="000000"/>
          <w:sz w:val="24"/>
          <w:szCs w:val="24"/>
        </w:rPr>
        <w:t>- да са 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 по процедурата</w:t>
      </w:r>
      <w:r w:rsidRPr="005A0A79">
        <w:rPr>
          <w:rFonts w:ascii="Times New Roman" w:eastAsia="Calibri" w:hAnsi="Times New Roman" w:cs="Times New Roman"/>
          <w:i/>
          <w:iCs/>
          <w:color w:val="000000"/>
          <w:sz w:val="24"/>
          <w:szCs w:val="24"/>
        </w:rPr>
        <w:t>, видно от устав/учредителен акт, удостоверение за актуално състояние или решение по вписване;</w:t>
      </w:r>
    </w:p>
    <w:p w14:paraId="3565C8F2"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 да имат </w:t>
      </w:r>
      <w:r w:rsidRPr="005A0A79">
        <w:rPr>
          <w:rFonts w:ascii="Times New Roman" w:eastAsia="Calibri" w:hAnsi="Times New Roman" w:cs="Times New Roman"/>
          <w:b/>
          <w:bCs/>
          <w:i/>
          <w:iCs/>
          <w:color w:val="000000"/>
          <w:sz w:val="24"/>
          <w:szCs w:val="24"/>
        </w:rPr>
        <w:t>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w:t>
      </w:r>
      <w:r w:rsidRPr="005A0A79">
        <w:rPr>
          <w:rFonts w:ascii="Times New Roman" w:eastAsia="Calibri" w:hAnsi="Times New Roman" w:cs="Times New Roman"/>
          <w:i/>
          <w:iCs/>
          <w:color w:val="000000"/>
          <w:sz w:val="24"/>
          <w:szCs w:val="24"/>
        </w:rPr>
        <w:t xml:space="preserve">  преди датата на обявяване на процедурата. … </w:t>
      </w:r>
    </w:p>
    <w:p w14:paraId="1CDAC4DB"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ЮЛНЦ следва да отговаря на изискванията за предоставяне на минимална помощ, в съответствие с Регламент (ЕС) 2023/2831 относно прилагането на членове 107 и 108 от Договора за функционирането на Европейския съюз към помощта de minimis (в текст от значение за ЕИП, OB L от 15.12.2023 г.) за допустимата за него дейност по настоящата процедура – дейност 1, подробно описани в т. 16 „Приложим режим на минимални/държавни помощи“ от настоящите Условия за кандидатстване. …“.</w:t>
      </w:r>
    </w:p>
    <w:p w14:paraId="0FBED057"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color w:val="000000"/>
          <w:sz w:val="24"/>
          <w:szCs w:val="24"/>
        </w:rPr>
        <w:t>Също така,</w:t>
      </w:r>
      <w:r w:rsidRPr="005A0A79">
        <w:rPr>
          <w:rFonts w:ascii="Times New Roman" w:eastAsia="Calibri" w:hAnsi="Times New Roman" w:cs="Times New Roman"/>
          <w:i/>
          <w:iCs/>
          <w:color w:val="000000"/>
          <w:sz w:val="24"/>
          <w:szCs w:val="24"/>
        </w:rPr>
        <w:t xml:space="preserve"> „Кандидатът по настоящата процедура трябва:</w:t>
      </w:r>
    </w:p>
    <w:p w14:paraId="264B57B9"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 - да е пряко отговорен за изпълнението на  дейностите по проекта;</w:t>
      </w:r>
    </w:p>
    <w:p w14:paraId="33711DF0"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и </w:t>
      </w:r>
    </w:p>
    <w:p w14:paraId="15964FD7"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  да разполага с необходимия административен капацитет, както и с </w:t>
      </w:r>
      <w:r w:rsidRPr="005A0A79">
        <w:rPr>
          <w:rFonts w:ascii="Times New Roman" w:eastAsia="Calibri" w:hAnsi="Times New Roman" w:cs="Times New Roman"/>
          <w:b/>
          <w:bCs/>
          <w:i/>
          <w:iCs/>
          <w:color w:val="000000"/>
          <w:sz w:val="24"/>
          <w:szCs w:val="24"/>
        </w:rPr>
        <w:t>финансови ресурси (финансов капацитет) и механизми за устойчивост</w:t>
      </w:r>
      <w:r w:rsidRPr="005A0A79">
        <w:rPr>
          <w:rFonts w:ascii="Times New Roman" w:eastAsia="Calibri" w:hAnsi="Times New Roman" w:cs="Times New Roman"/>
          <w:i/>
          <w:iCs/>
          <w:color w:val="000000"/>
          <w:sz w:val="24"/>
          <w:szCs w:val="24"/>
        </w:rPr>
        <w:t>, позволяващи да се изпълнят предложените в проектното предложение дейности и да се гарантира тяхната финансова устойчивост.</w:t>
      </w:r>
    </w:p>
    <w:p w14:paraId="4281A1CE"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Финансовият капацитет на кандидат по настоящата процедура се оценява на база на данните за общия оборот на кандидата – … ЮЛНЦ, </w:t>
      </w:r>
      <w:r w:rsidRPr="005A0A79">
        <w:rPr>
          <w:rFonts w:ascii="Times New Roman" w:eastAsia="Calibri" w:hAnsi="Times New Roman" w:cs="Times New Roman"/>
          <w:b/>
          <w:bCs/>
          <w:i/>
          <w:iCs/>
          <w:color w:val="000000"/>
          <w:sz w:val="24"/>
          <w:szCs w:val="24"/>
        </w:rPr>
        <w:t>за последните две приключили финансови години към датата на кандидатстван</w:t>
      </w:r>
      <w:r w:rsidRPr="005A0A79">
        <w:rPr>
          <w:rFonts w:ascii="Times New Roman" w:eastAsia="Calibri" w:hAnsi="Times New Roman" w:cs="Times New Roman"/>
          <w:i/>
          <w:iCs/>
          <w:color w:val="000000"/>
          <w:sz w:val="24"/>
          <w:szCs w:val="24"/>
        </w:rPr>
        <w:t>е.</w:t>
      </w:r>
    </w:p>
    <w:p w14:paraId="0229263E"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Финансовият капацитет се оценява на база счетоводни документи (финансови отчети от ГОД) за последните две приключили финансови години, както следва:…</w:t>
      </w:r>
    </w:p>
    <w:p w14:paraId="7FACDA28"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 - от ЮЛНЦ – кандидат – ОПР, баланс, отчет за нестопанската и отчет за стопанската дейност, отразени в ГОД.</w:t>
      </w:r>
    </w:p>
    <w:p w14:paraId="253A353C" w14:textId="77777777" w:rsidR="005A0A79" w:rsidRPr="005A0A79" w:rsidRDefault="005A0A79" w:rsidP="005A0A79">
      <w:pPr>
        <w:pBdr>
          <w:top w:val="single" w:sz="4" w:space="1" w:color="auto"/>
        </w:pBdr>
        <w:spacing w:before="120" w:after="120" w:line="240" w:lineRule="auto"/>
        <w:jc w:val="both"/>
      </w:pPr>
      <w:r w:rsidRPr="005A0A79">
        <w:rPr>
          <w:rFonts w:ascii="Times New Roman" w:eastAsia="Calibri" w:hAnsi="Times New Roman" w:cs="Times New Roman"/>
          <w:i/>
          <w:iCs/>
          <w:color w:val="000000"/>
          <w:sz w:val="24"/>
          <w:szCs w:val="24"/>
        </w:rPr>
        <w:t>Счита се, че кандидатът разполага с „финансов капацитет“, в случай че неговият оборот с натрупване през последните две приключили финансови години преди датата на кандидатстване е по-голям или равен на 30 %  от стойността на исканото финансиране по проекта. За целите на настоящата процедура под „годишен оборот“ се разбират нетните приходи от продажби от стопанската дейност (параграф 15 100) плюс приходите от нестопанската дейност за съответната финансова година.</w:t>
      </w:r>
      <w:r w:rsidRPr="005A0A79">
        <w:t xml:space="preserve"> …</w:t>
      </w:r>
    </w:p>
    <w:p w14:paraId="4518FD36" w14:textId="77777777" w:rsidR="005A0A79" w:rsidRPr="005A0A79" w:rsidRDefault="005A0A79" w:rsidP="005A0A79">
      <w:pPr>
        <w:pBdr>
          <w:top w:val="single" w:sz="4" w:space="1" w:color="auto"/>
        </w:pBdr>
        <w:spacing w:before="120" w:after="120" w:line="240" w:lineRule="auto"/>
        <w:jc w:val="both"/>
      </w:pPr>
      <w:r w:rsidRPr="005A0A79">
        <w:rPr>
          <w:rFonts w:ascii="Times New Roman" w:eastAsia="Calibri" w:hAnsi="Times New Roman" w:cs="Times New Roman"/>
          <w:i/>
          <w:iCs/>
          <w:color w:val="000000"/>
          <w:sz w:val="24"/>
          <w:szCs w:val="24"/>
        </w:rPr>
        <w:t xml:space="preserve">Под „общ оборот за две приключили финансови години с натрупване“ за кандидат – ЮЛНЦ следва да се разбира сумата от годишните обороти на юридическото лице за </w:t>
      </w:r>
      <w:r w:rsidRPr="005A0A79">
        <w:rPr>
          <w:rFonts w:ascii="Times New Roman" w:eastAsia="Calibri" w:hAnsi="Times New Roman" w:cs="Times New Roman"/>
          <w:i/>
          <w:iCs/>
          <w:color w:val="000000"/>
          <w:sz w:val="24"/>
          <w:szCs w:val="24"/>
        </w:rPr>
        <w:lastRenderedPageBreak/>
        <w:t xml:space="preserve">последните две приключили финансови години заедно/съвкупно за стопанската и нестопанската дейности.“ </w:t>
      </w:r>
    </w:p>
    <w:p w14:paraId="6AB6E638"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b/>
          <w:bCs/>
          <w:color w:val="000000"/>
          <w:sz w:val="24"/>
          <w:szCs w:val="24"/>
        </w:rPr>
        <w:t xml:space="preserve">Горецитираните изисквания за допустимост следва да бъдат изпълнени </w:t>
      </w:r>
      <w:r w:rsidRPr="005A0A79">
        <w:rPr>
          <w:rFonts w:ascii="Times New Roman" w:eastAsia="Calibri" w:hAnsi="Times New Roman" w:cs="Times New Roman"/>
          <w:b/>
          <w:bCs/>
          <w:color w:val="000000"/>
          <w:sz w:val="24"/>
          <w:szCs w:val="24"/>
          <w:u w:val="single"/>
        </w:rPr>
        <w:t>кумулативно</w:t>
      </w:r>
      <w:r w:rsidRPr="005A0A79">
        <w:rPr>
          <w:rFonts w:ascii="Times New Roman" w:eastAsia="Calibri" w:hAnsi="Times New Roman" w:cs="Times New Roman"/>
          <w:color w:val="000000"/>
          <w:sz w:val="24"/>
          <w:szCs w:val="24"/>
        </w:rPr>
        <w:t xml:space="preserve"> от всяко ЮЛНЦ – кандидат, проверката  за които се прави по реда на  Раздел II</w:t>
      </w:r>
      <w:r w:rsidRPr="005A0A79">
        <w:t xml:space="preserve"> </w:t>
      </w:r>
      <w:r w:rsidRPr="005A0A79">
        <w:rPr>
          <w:rFonts w:ascii="Times New Roman" w:eastAsia="Calibri" w:hAnsi="Times New Roman" w:cs="Times New Roman"/>
          <w:color w:val="000000"/>
          <w:sz w:val="24"/>
          <w:szCs w:val="24"/>
        </w:rPr>
        <w:t xml:space="preserve">КРИТЕРИИ ЗА ОЦЕНКА НА ДОПУСТИМОСТТА от Приложение X „Критерии и методология за оценка на проектни предложения по процедура за предоставяне на безвъзмездна финансова помощ чрез подбор на проектни предложения „Достъп на уязвими групи и непедагогически персонал до висше образование”. </w:t>
      </w:r>
    </w:p>
    <w:p w14:paraId="05AAD7E0"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В случай че дадено народно читалище, в качеството си на регистрирано ЮЛНЦ</w:t>
      </w:r>
      <w:r w:rsidRPr="005A0A79">
        <w:t xml:space="preserve"> </w:t>
      </w:r>
      <w:r w:rsidRPr="005A0A79">
        <w:rPr>
          <w:rFonts w:ascii="Times New Roman" w:eastAsia="Calibri" w:hAnsi="Times New Roman" w:cs="Times New Roman"/>
          <w:color w:val="000000"/>
          <w:sz w:val="24"/>
          <w:szCs w:val="24"/>
        </w:rPr>
        <w:t>за осъществяване на дейност в обществена полза, видно и от представените изискуеми документи по т. 24 от Условията за кандидатстване, отговаря кумулативно на всички гореописани изисквания за допустимост, посочени в т. 11 от УК и Приложение X, то може да се разглежда като допустим кандидат по настоящата процедура.</w:t>
      </w:r>
    </w:p>
    <w:p w14:paraId="06286493"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2. Обръщаме внимание, че съгласно т. 12. „Допустими партньори (ако е приложимо)“ от УК </w:t>
      </w:r>
      <w:r w:rsidRPr="005A0A79">
        <w:rPr>
          <w:rFonts w:ascii="Times New Roman" w:eastAsia="Calibri" w:hAnsi="Times New Roman" w:cs="Times New Roman"/>
          <w:b/>
          <w:bCs/>
          <w:color w:val="000000"/>
          <w:sz w:val="24"/>
          <w:szCs w:val="24"/>
        </w:rPr>
        <w:t>партньорите – ЮЛНЦ следва да отговарят на специфичните изисквания за допустимост на ЮЛНЦ съгласно т. 11.1.</w:t>
      </w:r>
      <w:r w:rsidRPr="005A0A79">
        <w:rPr>
          <w:rFonts w:ascii="Times New Roman" w:eastAsia="Calibri" w:hAnsi="Times New Roman" w:cs="Times New Roman"/>
          <w:color w:val="000000"/>
          <w:sz w:val="24"/>
          <w:szCs w:val="24"/>
        </w:rPr>
        <w:t xml:space="preserve"> </w:t>
      </w:r>
      <w:r w:rsidRPr="005A0A79">
        <w:rPr>
          <w:rFonts w:ascii="Times New Roman" w:eastAsia="Calibri" w:hAnsi="Times New Roman" w:cs="Times New Roman"/>
          <w:b/>
          <w:bCs/>
          <w:color w:val="000000"/>
          <w:sz w:val="24"/>
          <w:szCs w:val="24"/>
        </w:rPr>
        <w:t>от УК.</w:t>
      </w:r>
      <w:r w:rsidRPr="005A0A79">
        <w:rPr>
          <w:rFonts w:ascii="Times New Roman" w:eastAsia="Calibri" w:hAnsi="Times New Roman" w:cs="Times New Roman"/>
          <w:color w:val="000000"/>
          <w:sz w:val="24"/>
          <w:szCs w:val="24"/>
        </w:rPr>
        <w:t xml:space="preserve"> В тази връзка моля, запознайте се с разяснението по подточка 1 на Въпрос 3.</w:t>
      </w:r>
    </w:p>
    <w:p w14:paraId="27F2B8AF" w14:textId="1B4170A4" w:rsidR="005A0A79" w:rsidRPr="005A0A79" w:rsidRDefault="005A0A79"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3. Всички изисквания към допустимите кандидати и партньори по процедурата са описани в Условията за кандидатстване и приложенията към тях.</w:t>
      </w:r>
    </w:p>
    <w:p w14:paraId="514CE2B5" w14:textId="77777777" w:rsidR="00792704" w:rsidRPr="005A0A79" w:rsidRDefault="00792704" w:rsidP="00B50A87">
      <w:pPr>
        <w:spacing w:after="0" w:line="240" w:lineRule="auto"/>
        <w:jc w:val="both"/>
        <w:rPr>
          <w:rFonts w:ascii="Times New Roman" w:eastAsia="Calibri" w:hAnsi="Times New Roman" w:cs="Times New Roman"/>
          <w:b/>
          <w:bCs/>
          <w:sz w:val="24"/>
          <w:szCs w:val="24"/>
          <w:lang w:eastAsia="en-GB"/>
        </w:rPr>
      </w:pPr>
    </w:p>
    <w:p w14:paraId="762BF1F3" w14:textId="77777777" w:rsidR="006C6EAE" w:rsidRPr="005A0A79" w:rsidRDefault="006C6EAE">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6C6EAE" w:rsidRPr="005A0A79"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0BAA1" w14:textId="77777777" w:rsidR="003C120F" w:rsidRDefault="003C120F" w:rsidP="004B4516">
      <w:pPr>
        <w:spacing w:after="0" w:line="240" w:lineRule="auto"/>
      </w:pPr>
      <w:r>
        <w:separator/>
      </w:r>
    </w:p>
  </w:endnote>
  <w:endnote w:type="continuationSeparator" w:id="0">
    <w:p w14:paraId="0EDDC39E" w14:textId="77777777" w:rsidR="003C120F" w:rsidRDefault="003C120F"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ascii="Times New Roman" w:hAnsi="Times New Roman" w:cs="Times New Roman"/>
        <w:noProof/>
      </w:rPr>
    </w:sdtEndPr>
    <w:sdtContent>
      <w:p w14:paraId="2DA7A3CC" w14:textId="4537786F" w:rsidR="00B70A49" w:rsidRPr="00767B44" w:rsidRDefault="00B70A49" w:rsidP="00B70A49">
        <w:pPr>
          <w:pStyle w:val="Footer"/>
          <w:jc w:val="center"/>
          <w:rPr>
            <w:rFonts w:ascii="Times New Roman" w:hAnsi="Times New Roman" w:cs="Times New Roman"/>
          </w:rPr>
        </w:pPr>
        <w:r w:rsidRPr="00767B44">
          <w:rPr>
            <w:rFonts w:ascii="Times New Roman" w:hAnsi="Times New Roman" w:cs="Times New Roman"/>
          </w:rPr>
          <w:fldChar w:fldCharType="begin"/>
        </w:r>
        <w:r w:rsidRPr="00767B44">
          <w:rPr>
            <w:rFonts w:ascii="Times New Roman" w:hAnsi="Times New Roman" w:cs="Times New Roman"/>
          </w:rPr>
          <w:instrText xml:space="preserve"> PAGE   \* MERGEFORMAT </w:instrText>
        </w:r>
        <w:r w:rsidRPr="00767B44">
          <w:rPr>
            <w:rFonts w:ascii="Times New Roman" w:hAnsi="Times New Roman" w:cs="Times New Roman"/>
          </w:rPr>
          <w:fldChar w:fldCharType="separate"/>
        </w:r>
        <w:r w:rsidRPr="00767B44">
          <w:rPr>
            <w:rFonts w:ascii="Times New Roman" w:hAnsi="Times New Roman" w:cs="Times New Roman"/>
            <w:noProof/>
          </w:rPr>
          <w:t>2</w:t>
        </w:r>
        <w:r w:rsidRPr="00767B44">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9A56C" w14:textId="77777777" w:rsidR="003C120F" w:rsidRDefault="003C120F" w:rsidP="004B4516">
      <w:pPr>
        <w:spacing w:after="0" w:line="240" w:lineRule="auto"/>
      </w:pPr>
      <w:bookmarkStart w:id="0" w:name="_Hlk117864434"/>
      <w:bookmarkEnd w:id="0"/>
      <w:r>
        <w:separator/>
      </w:r>
    </w:p>
  </w:footnote>
  <w:footnote w:type="continuationSeparator" w:id="0">
    <w:p w14:paraId="4380EB94" w14:textId="77777777" w:rsidR="003C120F" w:rsidRDefault="003C120F"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19B2AE7"/>
    <w:multiLevelType w:val="hybridMultilevel"/>
    <w:tmpl w:val="593A86B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2E3301"/>
    <w:multiLevelType w:val="hybridMultilevel"/>
    <w:tmpl w:val="058666A0"/>
    <w:lvl w:ilvl="0" w:tplc="7AE06A2E">
      <w:start w:val="5"/>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3B56080"/>
    <w:multiLevelType w:val="hybridMultilevel"/>
    <w:tmpl w:val="374EFCCA"/>
    <w:lvl w:ilvl="0" w:tplc="E64EE412">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7"/>
  </w:num>
  <w:num w:numId="3">
    <w:abstractNumId w:val="23"/>
  </w:num>
  <w:num w:numId="4">
    <w:abstractNumId w:val="10"/>
  </w:num>
  <w:num w:numId="5">
    <w:abstractNumId w:val="11"/>
  </w:num>
  <w:num w:numId="6">
    <w:abstractNumId w:val="2"/>
  </w:num>
  <w:num w:numId="7">
    <w:abstractNumId w:val="6"/>
  </w:num>
  <w:num w:numId="8">
    <w:abstractNumId w:val="14"/>
  </w:num>
  <w:num w:numId="9">
    <w:abstractNumId w:val="1"/>
  </w:num>
  <w:num w:numId="10">
    <w:abstractNumId w:val="5"/>
  </w:num>
  <w:num w:numId="11">
    <w:abstractNumId w:val="0"/>
  </w:num>
  <w:num w:numId="12">
    <w:abstractNumId w:val="27"/>
  </w:num>
  <w:num w:numId="13">
    <w:abstractNumId w:val="19"/>
  </w:num>
  <w:num w:numId="14">
    <w:abstractNumId w:val="15"/>
  </w:num>
  <w:num w:numId="15">
    <w:abstractNumId w:val="9"/>
  </w:num>
  <w:num w:numId="16">
    <w:abstractNumId w:val="4"/>
  </w:num>
  <w:num w:numId="17">
    <w:abstractNumId w:val="8"/>
  </w:num>
  <w:num w:numId="18">
    <w:abstractNumId w:val="22"/>
  </w:num>
  <w:num w:numId="19">
    <w:abstractNumId w:val="16"/>
  </w:num>
  <w:num w:numId="20">
    <w:abstractNumId w:val="21"/>
  </w:num>
  <w:num w:numId="21">
    <w:abstractNumId w:val="26"/>
  </w:num>
  <w:num w:numId="22">
    <w:abstractNumId w:val="25"/>
  </w:num>
  <w:num w:numId="23">
    <w:abstractNumId w:val="3"/>
  </w:num>
  <w:num w:numId="24">
    <w:abstractNumId w:val="17"/>
  </w:num>
  <w:num w:numId="25">
    <w:abstractNumId w:val="24"/>
  </w:num>
  <w:num w:numId="26">
    <w:abstractNumId w:val="20"/>
  </w:num>
  <w:num w:numId="27">
    <w:abstractNumId w:val="13"/>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24C45"/>
    <w:rsid w:val="00032FD7"/>
    <w:rsid w:val="00035C37"/>
    <w:rsid w:val="0004198A"/>
    <w:rsid w:val="00042678"/>
    <w:rsid w:val="00056B61"/>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11FE"/>
    <w:rsid w:val="000D18A4"/>
    <w:rsid w:val="000D35B4"/>
    <w:rsid w:val="000D626F"/>
    <w:rsid w:val="000E1441"/>
    <w:rsid w:val="000E45B1"/>
    <w:rsid w:val="000E6589"/>
    <w:rsid w:val="000E7ABA"/>
    <w:rsid w:val="000F1766"/>
    <w:rsid w:val="000F3F89"/>
    <w:rsid w:val="000F729D"/>
    <w:rsid w:val="00106331"/>
    <w:rsid w:val="00106DF8"/>
    <w:rsid w:val="001071D7"/>
    <w:rsid w:val="001125E2"/>
    <w:rsid w:val="00112DF3"/>
    <w:rsid w:val="00121862"/>
    <w:rsid w:val="00121B9A"/>
    <w:rsid w:val="00125050"/>
    <w:rsid w:val="00130ACD"/>
    <w:rsid w:val="00133793"/>
    <w:rsid w:val="00133C80"/>
    <w:rsid w:val="001366CE"/>
    <w:rsid w:val="00137C0D"/>
    <w:rsid w:val="00137E03"/>
    <w:rsid w:val="00143924"/>
    <w:rsid w:val="0014597F"/>
    <w:rsid w:val="00147E30"/>
    <w:rsid w:val="0015003D"/>
    <w:rsid w:val="00150D5D"/>
    <w:rsid w:val="00151D13"/>
    <w:rsid w:val="00152AD4"/>
    <w:rsid w:val="001532A4"/>
    <w:rsid w:val="00153B23"/>
    <w:rsid w:val="001567AF"/>
    <w:rsid w:val="00156D9C"/>
    <w:rsid w:val="00160917"/>
    <w:rsid w:val="00167318"/>
    <w:rsid w:val="00186EB8"/>
    <w:rsid w:val="00193321"/>
    <w:rsid w:val="001A3CA9"/>
    <w:rsid w:val="001A5938"/>
    <w:rsid w:val="001B387A"/>
    <w:rsid w:val="001B3AC2"/>
    <w:rsid w:val="001C0424"/>
    <w:rsid w:val="001C1580"/>
    <w:rsid w:val="001C371C"/>
    <w:rsid w:val="001C5635"/>
    <w:rsid w:val="001C7219"/>
    <w:rsid w:val="001D1273"/>
    <w:rsid w:val="001D25D8"/>
    <w:rsid w:val="001D3A0C"/>
    <w:rsid w:val="001D3D1D"/>
    <w:rsid w:val="001D6E8A"/>
    <w:rsid w:val="001E0028"/>
    <w:rsid w:val="001E4DF9"/>
    <w:rsid w:val="001E54E3"/>
    <w:rsid w:val="001E5C15"/>
    <w:rsid w:val="001E761B"/>
    <w:rsid w:val="001F0057"/>
    <w:rsid w:val="001F21C2"/>
    <w:rsid w:val="001F2EAB"/>
    <w:rsid w:val="001F4153"/>
    <w:rsid w:val="001F6CBA"/>
    <w:rsid w:val="00202383"/>
    <w:rsid w:val="002036B7"/>
    <w:rsid w:val="0021028A"/>
    <w:rsid w:val="00211B6E"/>
    <w:rsid w:val="002203F8"/>
    <w:rsid w:val="00222DE3"/>
    <w:rsid w:val="002238A4"/>
    <w:rsid w:val="00224A62"/>
    <w:rsid w:val="00236430"/>
    <w:rsid w:val="00240BC8"/>
    <w:rsid w:val="00241274"/>
    <w:rsid w:val="00241A6C"/>
    <w:rsid w:val="0024475B"/>
    <w:rsid w:val="0025050E"/>
    <w:rsid w:val="0025103D"/>
    <w:rsid w:val="002515FC"/>
    <w:rsid w:val="00252A94"/>
    <w:rsid w:val="00253ECD"/>
    <w:rsid w:val="00261226"/>
    <w:rsid w:val="0026501E"/>
    <w:rsid w:val="00275E36"/>
    <w:rsid w:val="002828BD"/>
    <w:rsid w:val="00282922"/>
    <w:rsid w:val="00285DFB"/>
    <w:rsid w:val="00286290"/>
    <w:rsid w:val="002904B9"/>
    <w:rsid w:val="00295C6F"/>
    <w:rsid w:val="0029761F"/>
    <w:rsid w:val="002A02D7"/>
    <w:rsid w:val="002A1B7F"/>
    <w:rsid w:val="002A7166"/>
    <w:rsid w:val="002A753B"/>
    <w:rsid w:val="002A7D4D"/>
    <w:rsid w:val="002B0B21"/>
    <w:rsid w:val="002B5375"/>
    <w:rsid w:val="002B5561"/>
    <w:rsid w:val="002B628F"/>
    <w:rsid w:val="002C07F8"/>
    <w:rsid w:val="002C2C7E"/>
    <w:rsid w:val="002C2FAB"/>
    <w:rsid w:val="002D3D1C"/>
    <w:rsid w:val="002D49F3"/>
    <w:rsid w:val="002D736F"/>
    <w:rsid w:val="002E3B2A"/>
    <w:rsid w:val="002F4E61"/>
    <w:rsid w:val="002F613D"/>
    <w:rsid w:val="003154A8"/>
    <w:rsid w:val="00323DC1"/>
    <w:rsid w:val="00334E49"/>
    <w:rsid w:val="00337E67"/>
    <w:rsid w:val="00341092"/>
    <w:rsid w:val="00345E6E"/>
    <w:rsid w:val="00347E0B"/>
    <w:rsid w:val="00356408"/>
    <w:rsid w:val="00360AFE"/>
    <w:rsid w:val="00360D9C"/>
    <w:rsid w:val="003638FC"/>
    <w:rsid w:val="003710D8"/>
    <w:rsid w:val="0037190C"/>
    <w:rsid w:val="00372D86"/>
    <w:rsid w:val="00380580"/>
    <w:rsid w:val="00381F6B"/>
    <w:rsid w:val="003903E7"/>
    <w:rsid w:val="00392DE7"/>
    <w:rsid w:val="0039332B"/>
    <w:rsid w:val="00393A64"/>
    <w:rsid w:val="00397406"/>
    <w:rsid w:val="003A2F8C"/>
    <w:rsid w:val="003B04DA"/>
    <w:rsid w:val="003B22F5"/>
    <w:rsid w:val="003B6A1B"/>
    <w:rsid w:val="003C120F"/>
    <w:rsid w:val="003C4603"/>
    <w:rsid w:val="003D11F9"/>
    <w:rsid w:val="003D458C"/>
    <w:rsid w:val="003D6506"/>
    <w:rsid w:val="003F199A"/>
    <w:rsid w:val="00403E06"/>
    <w:rsid w:val="0040475E"/>
    <w:rsid w:val="00432886"/>
    <w:rsid w:val="00433889"/>
    <w:rsid w:val="00434CC1"/>
    <w:rsid w:val="00436FFF"/>
    <w:rsid w:val="00437424"/>
    <w:rsid w:val="00437555"/>
    <w:rsid w:val="00444656"/>
    <w:rsid w:val="00444679"/>
    <w:rsid w:val="00447F21"/>
    <w:rsid w:val="00450E78"/>
    <w:rsid w:val="004513ED"/>
    <w:rsid w:val="00452B58"/>
    <w:rsid w:val="00454C47"/>
    <w:rsid w:val="004621B6"/>
    <w:rsid w:val="004634AB"/>
    <w:rsid w:val="00466AF8"/>
    <w:rsid w:val="00466F36"/>
    <w:rsid w:val="00476CAC"/>
    <w:rsid w:val="00481B29"/>
    <w:rsid w:val="00482E44"/>
    <w:rsid w:val="00483BFB"/>
    <w:rsid w:val="00485148"/>
    <w:rsid w:val="00485D78"/>
    <w:rsid w:val="00490708"/>
    <w:rsid w:val="00492028"/>
    <w:rsid w:val="00492307"/>
    <w:rsid w:val="00492F90"/>
    <w:rsid w:val="004A0318"/>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5AA"/>
    <w:rsid w:val="004E0F7E"/>
    <w:rsid w:val="004E28FD"/>
    <w:rsid w:val="004E6E7A"/>
    <w:rsid w:val="00503FD5"/>
    <w:rsid w:val="00505176"/>
    <w:rsid w:val="00505A5F"/>
    <w:rsid w:val="00513DCF"/>
    <w:rsid w:val="00520132"/>
    <w:rsid w:val="00521E7C"/>
    <w:rsid w:val="00525505"/>
    <w:rsid w:val="0053019C"/>
    <w:rsid w:val="00531EDB"/>
    <w:rsid w:val="005338C5"/>
    <w:rsid w:val="005343D9"/>
    <w:rsid w:val="005347C5"/>
    <w:rsid w:val="00534AFE"/>
    <w:rsid w:val="00542824"/>
    <w:rsid w:val="00544221"/>
    <w:rsid w:val="005454CF"/>
    <w:rsid w:val="00547FBD"/>
    <w:rsid w:val="005502B9"/>
    <w:rsid w:val="00563C2C"/>
    <w:rsid w:val="005663FA"/>
    <w:rsid w:val="00572FBE"/>
    <w:rsid w:val="005740DE"/>
    <w:rsid w:val="005772EA"/>
    <w:rsid w:val="0058319D"/>
    <w:rsid w:val="00592617"/>
    <w:rsid w:val="005951AE"/>
    <w:rsid w:val="005A089A"/>
    <w:rsid w:val="005A0A79"/>
    <w:rsid w:val="005A4BEF"/>
    <w:rsid w:val="005A7413"/>
    <w:rsid w:val="005B02C2"/>
    <w:rsid w:val="005C39BA"/>
    <w:rsid w:val="005C6FCA"/>
    <w:rsid w:val="005D3B78"/>
    <w:rsid w:val="005D6088"/>
    <w:rsid w:val="005E549E"/>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4039F"/>
    <w:rsid w:val="006460E4"/>
    <w:rsid w:val="006518E0"/>
    <w:rsid w:val="0065261E"/>
    <w:rsid w:val="0066266E"/>
    <w:rsid w:val="00667ACF"/>
    <w:rsid w:val="00672941"/>
    <w:rsid w:val="00683F8C"/>
    <w:rsid w:val="006848A6"/>
    <w:rsid w:val="006861FD"/>
    <w:rsid w:val="006871F4"/>
    <w:rsid w:val="00692A63"/>
    <w:rsid w:val="00695A3F"/>
    <w:rsid w:val="00697C9E"/>
    <w:rsid w:val="006A2D15"/>
    <w:rsid w:val="006B4638"/>
    <w:rsid w:val="006B4F59"/>
    <w:rsid w:val="006B5134"/>
    <w:rsid w:val="006C0362"/>
    <w:rsid w:val="006C6EAE"/>
    <w:rsid w:val="006C6EC1"/>
    <w:rsid w:val="006D3F9F"/>
    <w:rsid w:val="006E2AA8"/>
    <w:rsid w:val="006E3EC8"/>
    <w:rsid w:val="006E4D05"/>
    <w:rsid w:val="006F2AEC"/>
    <w:rsid w:val="006F393E"/>
    <w:rsid w:val="006F3D4F"/>
    <w:rsid w:val="006F566C"/>
    <w:rsid w:val="00705121"/>
    <w:rsid w:val="00705F80"/>
    <w:rsid w:val="007109AC"/>
    <w:rsid w:val="00713514"/>
    <w:rsid w:val="007162E3"/>
    <w:rsid w:val="00716EBD"/>
    <w:rsid w:val="00723B2A"/>
    <w:rsid w:val="00724A41"/>
    <w:rsid w:val="00724B11"/>
    <w:rsid w:val="00725200"/>
    <w:rsid w:val="00725531"/>
    <w:rsid w:val="0073114C"/>
    <w:rsid w:val="00732198"/>
    <w:rsid w:val="0073310E"/>
    <w:rsid w:val="0073579E"/>
    <w:rsid w:val="007370A3"/>
    <w:rsid w:val="00740566"/>
    <w:rsid w:val="007436E2"/>
    <w:rsid w:val="00750C3D"/>
    <w:rsid w:val="00753049"/>
    <w:rsid w:val="007543D1"/>
    <w:rsid w:val="00757988"/>
    <w:rsid w:val="007641C0"/>
    <w:rsid w:val="00767B44"/>
    <w:rsid w:val="00770B45"/>
    <w:rsid w:val="0077158B"/>
    <w:rsid w:val="00771B0C"/>
    <w:rsid w:val="0077365A"/>
    <w:rsid w:val="00774564"/>
    <w:rsid w:val="00776621"/>
    <w:rsid w:val="00781345"/>
    <w:rsid w:val="0078263D"/>
    <w:rsid w:val="00784194"/>
    <w:rsid w:val="007867B2"/>
    <w:rsid w:val="00786CC3"/>
    <w:rsid w:val="00791856"/>
    <w:rsid w:val="00792704"/>
    <w:rsid w:val="00796094"/>
    <w:rsid w:val="007A03DB"/>
    <w:rsid w:val="007A06A3"/>
    <w:rsid w:val="007A1EBA"/>
    <w:rsid w:val="007A2CC2"/>
    <w:rsid w:val="007B48AF"/>
    <w:rsid w:val="007B4AB0"/>
    <w:rsid w:val="007C1D2C"/>
    <w:rsid w:val="007C20D8"/>
    <w:rsid w:val="007C2A57"/>
    <w:rsid w:val="007C40DB"/>
    <w:rsid w:val="007C4665"/>
    <w:rsid w:val="007C4D1F"/>
    <w:rsid w:val="007C6F00"/>
    <w:rsid w:val="007D6204"/>
    <w:rsid w:val="007E1571"/>
    <w:rsid w:val="007F11EC"/>
    <w:rsid w:val="007F18C3"/>
    <w:rsid w:val="007F24DF"/>
    <w:rsid w:val="007F29CF"/>
    <w:rsid w:val="007F2C65"/>
    <w:rsid w:val="007F3992"/>
    <w:rsid w:val="007F3E5F"/>
    <w:rsid w:val="007F5051"/>
    <w:rsid w:val="007F7676"/>
    <w:rsid w:val="0080027A"/>
    <w:rsid w:val="00801096"/>
    <w:rsid w:val="00802721"/>
    <w:rsid w:val="008037C7"/>
    <w:rsid w:val="008059AC"/>
    <w:rsid w:val="00805DF2"/>
    <w:rsid w:val="00810C56"/>
    <w:rsid w:val="0082048E"/>
    <w:rsid w:val="00823369"/>
    <w:rsid w:val="00825C16"/>
    <w:rsid w:val="00826394"/>
    <w:rsid w:val="008279B6"/>
    <w:rsid w:val="00830FE9"/>
    <w:rsid w:val="00832D64"/>
    <w:rsid w:val="0083584C"/>
    <w:rsid w:val="008401B2"/>
    <w:rsid w:val="00847E28"/>
    <w:rsid w:val="00856BDA"/>
    <w:rsid w:val="00860263"/>
    <w:rsid w:val="00862A26"/>
    <w:rsid w:val="008645BA"/>
    <w:rsid w:val="00864FD5"/>
    <w:rsid w:val="00867D63"/>
    <w:rsid w:val="00873320"/>
    <w:rsid w:val="008738C1"/>
    <w:rsid w:val="008749E3"/>
    <w:rsid w:val="00875E2F"/>
    <w:rsid w:val="008825F3"/>
    <w:rsid w:val="0088770F"/>
    <w:rsid w:val="008959EE"/>
    <w:rsid w:val="0089696F"/>
    <w:rsid w:val="008B03A7"/>
    <w:rsid w:val="008B489F"/>
    <w:rsid w:val="008B761B"/>
    <w:rsid w:val="008B778E"/>
    <w:rsid w:val="008C4C97"/>
    <w:rsid w:val="008C6556"/>
    <w:rsid w:val="008C707B"/>
    <w:rsid w:val="008D1750"/>
    <w:rsid w:val="008D386B"/>
    <w:rsid w:val="008D401C"/>
    <w:rsid w:val="008D525E"/>
    <w:rsid w:val="008E2D52"/>
    <w:rsid w:val="008E7816"/>
    <w:rsid w:val="008F3A76"/>
    <w:rsid w:val="008F7903"/>
    <w:rsid w:val="008F7BFB"/>
    <w:rsid w:val="00902063"/>
    <w:rsid w:val="00902331"/>
    <w:rsid w:val="0091213E"/>
    <w:rsid w:val="00913663"/>
    <w:rsid w:val="00916B53"/>
    <w:rsid w:val="00917DEA"/>
    <w:rsid w:val="00923A66"/>
    <w:rsid w:val="00931043"/>
    <w:rsid w:val="00935EB8"/>
    <w:rsid w:val="009426B4"/>
    <w:rsid w:val="00943039"/>
    <w:rsid w:val="00944071"/>
    <w:rsid w:val="00944CEB"/>
    <w:rsid w:val="00945252"/>
    <w:rsid w:val="009462CA"/>
    <w:rsid w:val="0094666F"/>
    <w:rsid w:val="009511B8"/>
    <w:rsid w:val="00954728"/>
    <w:rsid w:val="009549ED"/>
    <w:rsid w:val="00961A34"/>
    <w:rsid w:val="0097145D"/>
    <w:rsid w:val="00975DEF"/>
    <w:rsid w:val="00981294"/>
    <w:rsid w:val="00982B84"/>
    <w:rsid w:val="00983E60"/>
    <w:rsid w:val="00994F30"/>
    <w:rsid w:val="009A0FDF"/>
    <w:rsid w:val="009A135F"/>
    <w:rsid w:val="009A2EDA"/>
    <w:rsid w:val="009B51A9"/>
    <w:rsid w:val="009C08C5"/>
    <w:rsid w:val="009C5834"/>
    <w:rsid w:val="009C6E9F"/>
    <w:rsid w:val="009C7474"/>
    <w:rsid w:val="009D1B4A"/>
    <w:rsid w:val="009D40D7"/>
    <w:rsid w:val="009D4D3F"/>
    <w:rsid w:val="009E3C67"/>
    <w:rsid w:val="009E3EBA"/>
    <w:rsid w:val="009E49D2"/>
    <w:rsid w:val="009E4CD0"/>
    <w:rsid w:val="009E7EA4"/>
    <w:rsid w:val="009F4F49"/>
    <w:rsid w:val="009F6DEF"/>
    <w:rsid w:val="00A00BC4"/>
    <w:rsid w:val="00A012F2"/>
    <w:rsid w:val="00A014C8"/>
    <w:rsid w:val="00A01B3E"/>
    <w:rsid w:val="00A05817"/>
    <w:rsid w:val="00A102A6"/>
    <w:rsid w:val="00A11711"/>
    <w:rsid w:val="00A12138"/>
    <w:rsid w:val="00A12855"/>
    <w:rsid w:val="00A154C2"/>
    <w:rsid w:val="00A15E3C"/>
    <w:rsid w:val="00A255C4"/>
    <w:rsid w:val="00A3330F"/>
    <w:rsid w:val="00A37341"/>
    <w:rsid w:val="00A41A93"/>
    <w:rsid w:val="00A46CD6"/>
    <w:rsid w:val="00A50F65"/>
    <w:rsid w:val="00A53A36"/>
    <w:rsid w:val="00A5444C"/>
    <w:rsid w:val="00A665A8"/>
    <w:rsid w:val="00A70EC1"/>
    <w:rsid w:val="00A81034"/>
    <w:rsid w:val="00A835CE"/>
    <w:rsid w:val="00A83836"/>
    <w:rsid w:val="00A963D2"/>
    <w:rsid w:val="00AA0D62"/>
    <w:rsid w:val="00AA19F0"/>
    <w:rsid w:val="00AA64CC"/>
    <w:rsid w:val="00AC0F7D"/>
    <w:rsid w:val="00AC338D"/>
    <w:rsid w:val="00AD1AD6"/>
    <w:rsid w:val="00AD5039"/>
    <w:rsid w:val="00AD6071"/>
    <w:rsid w:val="00AD6A43"/>
    <w:rsid w:val="00AD7C69"/>
    <w:rsid w:val="00AE1E0F"/>
    <w:rsid w:val="00AE2895"/>
    <w:rsid w:val="00AF4334"/>
    <w:rsid w:val="00AF6D05"/>
    <w:rsid w:val="00AF6FCE"/>
    <w:rsid w:val="00AF73D7"/>
    <w:rsid w:val="00B00BBF"/>
    <w:rsid w:val="00B04000"/>
    <w:rsid w:val="00B0638E"/>
    <w:rsid w:val="00B14AFF"/>
    <w:rsid w:val="00B23029"/>
    <w:rsid w:val="00B23A91"/>
    <w:rsid w:val="00B23E93"/>
    <w:rsid w:val="00B30721"/>
    <w:rsid w:val="00B31FA7"/>
    <w:rsid w:val="00B327B3"/>
    <w:rsid w:val="00B34F47"/>
    <w:rsid w:val="00B40E0B"/>
    <w:rsid w:val="00B434D2"/>
    <w:rsid w:val="00B47FF4"/>
    <w:rsid w:val="00B5012B"/>
    <w:rsid w:val="00B50A87"/>
    <w:rsid w:val="00B55EC0"/>
    <w:rsid w:val="00B56ABD"/>
    <w:rsid w:val="00B61FBD"/>
    <w:rsid w:val="00B70A11"/>
    <w:rsid w:val="00B70A49"/>
    <w:rsid w:val="00B72AFB"/>
    <w:rsid w:val="00B80C45"/>
    <w:rsid w:val="00B83A62"/>
    <w:rsid w:val="00B84486"/>
    <w:rsid w:val="00B929F6"/>
    <w:rsid w:val="00B95499"/>
    <w:rsid w:val="00BA0AB4"/>
    <w:rsid w:val="00BA0EE9"/>
    <w:rsid w:val="00BA7A89"/>
    <w:rsid w:val="00BB1FD5"/>
    <w:rsid w:val="00BB5E34"/>
    <w:rsid w:val="00BB6ED2"/>
    <w:rsid w:val="00BB77AF"/>
    <w:rsid w:val="00BC23A9"/>
    <w:rsid w:val="00BC2ED7"/>
    <w:rsid w:val="00BD2BB1"/>
    <w:rsid w:val="00BD5F6F"/>
    <w:rsid w:val="00BE0899"/>
    <w:rsid w:val="00BE08CC"/>
    <w:rsid w:val="00BE1A9E"/>
    <w:rsid w:val="00BE1FA7"/>
    <w:rsid w:val="00BE55A5"/>
    <w:rsid w:val="00BF57B4"/>
    <w:rsid w:val="00C00B94"/>
    <w:rsid w:val="00C02630"/>
    <w:rsid w:val="00C05606"/>
    <w:rsid w:val="00C1295A"/>
    <w:rsid w:val="00C14C2F"/>
    <w:rsid w:val="00C2694D"/>
    <w:rsid w:val="00C26F36"/>
    <w:rsid w:val="00C2739A"/>
    <w:rsid w:val="00C35B32"/>
    <w:rsid w:val="00C367D9"/>
    <w:rsid w:val="00C37B9D"/>
    <w:rsid w:val="00C41C85"/>
    <w:rsid w:val="00C47829"/>
    <w:rsid w:val="00C51EC2"/>
    <w:rsid w:val="00C5501C"/>
    <w:rsid w:val="00C571F0"/>
    <w:rsid w:val="00C62C18"/>
    <w:rsid w:val="00C70555"/>
    <w:rsid w:val="00C722CF"/>
    <w:rsid w:val="00C72897"/>
    <w:rsid w:val="00C74B1C"/>
    <w:rsid w:val="00C762A3"/>
    <w:rsid w:val="00C82441"/>
    <w:rsid w:val="00C8273D"/>
    <w:rsid w:val="00C83D8F"/>
    <w:rsid w:val="00C841B9"/>
    <w:rsid w:val="00C84F0F"/>
    <w:rsid w:val="00C853F9"/>
    <w:rsid w:val="00C8636A"/>
    <w:rsid w:val="00C90DF5"/>
    <w:rsid w:val="00C91F42"/>
    <w:rsid w:val="00C93F40"/>
    <w:rsid w:val="00C94020"/>
    <w:rsid w:val="00C95945"/>
    <w:rsid w:val="00C965FD"/>
    <w:rsid w:val="00C967C6"/>
    <w:rsid w:val="00CA0AB6"/>
    <w:rsid w:val="00CA1A78"/>
    <w:rsid w:val="00CA33C7"/>
    <w:rsid w:val="00CB03A1"/>
    <w:rsid w:val="00CB0E49"/>
    <w:rsid w:val="00CB7999"/>
    <w:rsid w:val="00CD3D82"/>
    <w:rsid w:val="00CF1648"/>
    <w:rsid w:val="00CF5099"/>
    <w:rsid w:val="00D10F7A"/>
    <w:rsid w:val="00D13DBC"/>
    <w:rsid w:val="00D17594"/>
    <w:rsid w:val="00D20F57"/>
    <w:rsid w:val="00D235C9"/>
    <w:rsid w:val="00D24CD8"/>
    <w:rsid w:val="00D266C4"/>
    <w:rsid w:val="00D31D38"/>
    <w:rsid w:val="00D34813"/>
    <w:rsid w:val="00D4677A"/>
    <w:rsid w:val="00D52783"/>
    <w:rsid w:val="00D53890"/>
    <w:rsid w:val="00D55FB8"/>
    <w:rsid w:val="00D60FEA"/>
    <w:rsid w:val="00D61C45"/>
    <w:rsid w:val="00D62217"/>
    <w:rsid w:val="00D63BFF"/>
    <w:rsid w:val="00D70E8A"/>
    <w:rsid w:val="00D8042C"/>
    <w:rsid w:val="00D90EF2"/>
    <w:rsid w:val="00D92B44"/>
    <w:rsid w:val="00D92EB7"/>
    <w:rsid w:val="00D93D72"/>
    <w:rsid w:val="00D9557C"/>
    <w:rsid w:val="00D95658"/>
    <w:rsid w:val="00DA0371"/>
    <w:rsid w:val="00DA24F9"/>
    <w:rsid w:val="00DA2589"/>
    <w:rsid w:val="00DA2852"/>
    <w:rsid w:val="00DA3718"/>
    <w:rsid w:val="00DB6AE1"/>
    <w:rsid w:val="00DC3250"/>
    <w:rsid w:val="00DC62B6"/>
    <w:rsid w:val="00DD03C4"/>
    <w:rsid w:val="00DF4CB5"/>
    <w:rsid w:val="00E0302F"/>
    <w:rsid w:val="00E03867"/>
    <w:rsid w:val="00E105EA"/>
    <w:rsid w:val="00E11FD7"/>
    <w:rsid w:val="00E13AB0"/>
    <w:rsid w:val="00E22808"/>
    <w:rsid w:val="00E25444"/>
    <w:rsid w:val="00E26FDE"/>
    <w:rsid w:val="00E2777E"/>
    <w:rsid w:val="00E36715"/>
    <w:rsid w:val="00E40200"/>
    <w:rsid w:val="00E429D0"/>
    <w:rsid w:val="00E51FFD"/>
    <w:rsid w:val="00E53098"/>
    <w:rsid w:val="00E54D9B"/>
    <w:rsid w:val="00E561DE"/>
    <w:rsid w:val="00E61AAD"/>
    <w:rsid w:val="00E61FDA"/>
    <w:rsid w:val="00E6216B"/>
    <w:rsid w:val="00E621B1"/>
    <w:rsid w:val="00E70624"/>
    <w:rsid w:val="00E81249"/>
    <w:rsid w:val="00E8215C"/>
    <w:rsid w:val="00E866A2"/>
    <w:rsid w:val="00E87404"/>
    <w:rsid w:val="00E875EC"/>
    <w:rsid w:val="00E90A81"/>
    <w:rsid w:val="00E9145C"/>
    <w:rsid w:val="00E9292E"/>
    <w:rsid w:val="00E93221"/>
    <w:rsid w:val="00E93AA8"/>
    <w:rsid w:val="00E94ADE"/>
    <w:rsid w:val="00E9666F"/>
    <w:rsid w:val="00EA141A"/>
    <w:rsid w:val="00EA2659"/>
    <w:rsid w:val="00EA314E"/>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4266"/>
    <w:rsid w:val="00F264DF"/>
    <w:rsid w:val="00F26ED6"/>
    <w:rsid w:val="00F2789F"/>
    <w:rsid w:val="00F311F7"/>
    <w:rsid w:val="00F37C84"/>
    <w:rsid w:val="00F52C27"/>
    <w:rsid w:val="00F56DD3"/>
    <w:rsid w:val="00F60883"/>
    <w:rsid w:val="00F61C10"/>
    <w:rsid w:val="00F658D8"/>
    <w:rsid w:val="00F77C43"/>
    <w:rsid w:val="00F802C5"/>
    <w:rsid w:val="00F82385"/>
    <w:rsid w:val="00F86A03"/>
    <w:rsid w:val="00F90FAE"/>
    <w:rsid w:val="00F9198E"/>
    <w:rsid w:val="00F91A06"/>
    <w:rsid w:val="00F96A0C"/>
    <w:rsid w:val="00F96DBF"/>
    <w:rsid w:val="00FA08B8"/>
    <w:rsid w:val="00FA4442"/>
    <w:rsid w:val="00FA5720"/>
    <w:rsid w:val="00FB2EB4"/>
    <w:rsid w:val="00FB377D"/>
    <w:rsid w:val="00FC0483"/>
    <w:rsid w:val="00FC2E5D"/>
    <w:rsid w:val="00FD2362"/>
    <w:rsid w:val="00FD4666"/>
    <w:rsid w:val="00FD7BA2"/>
    <w:rsid w:val="00FE3089"/>
    <w:rsid w:val="00FE34CE"/>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k/A/QOSCnONlC61o/9B6VPX7CtDo2ooM78HtQrr43iQ=</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dWr4+QE1aeTb4xQplXRNGVhDObShUANytExmlWNaG1w=</DigestValue>
    </Reference>
    <Reference Type="http://www.w3.org/2000/09/xmldsig#Object" URI="#idValidSigLnImg">
      <DigestMethod Algorithm="http://www.w3.org/2001/04/xmlenc#sha256"/>
      <DigestValue>RQ6Y5YXOEPALPl+lQfh8E4y7mlwwYEPu+0fmmKE0/So=</DigestValue>
    </Reference>
    <Reference Type="http://www.w3.org/2000/09/xmldsig#Object" URI="#idInvalidSigLnImg">
      <DigestMethod Algorithm="http://www.w3.org/2001/04/xmlenc#sha256"/>
      <DigestValue>3cBr6r2VA4hEsWS2WFXkqWdl4GB7VoRBX0zQPeMe324=</DigestValue>
    </Reference>
  </SignedInfo>
  <SignatureValue>gSBGKCtO6NjpEbVLpWRfOYMbO1QqCaaR+MwAqnK7YEe3vmO2JeB7v2dQc5jilkU+92BY4qlzzQDJ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=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xHdc8zqzKUfXHzww/yd3MrAb4w+jRCLjTdAVfv/cdNA=</DigestValue>
      </Reference>
      <Reference URI="/word/endnotes.xml?ContentType=application/vnd.openxmlformats-officedocument.wordprocessingml.endnotes+xml">
        <DigestMethod Algorithm="http://www.w3.org/2001/04/xmlenc#sha256"/>
        <DigestValue>0fJJqbwOoBFQytXQRXG8fn5PHeOsYNfqFyIh1La2SvE=</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oQ0d+BVpHvvv+1m0t4tOolkHA83MGs67tQ2r0rzDCj0=</DigestValue>
      </Reference>
      <Reference URI="/word/footnotes.xml?ContentType=application/vnd.openxmlformats-officedocument.wordprocessingml.footnotes+xml">
        <DigestMethod Algorithm="http://www.w3.org/2001/04/xmlenc#sha256"/>
        <DigestValue>U8OYrGnaxQJ+AthNcoecEHj4Unh3V6dSkml2+giwBX4=</DigestValue>
      </Reference>
      <Reference URI="/word/header1.xml?ContentType=application/vnd.openxmlformats-officedocument.wordprocessingml.header+xml">
        <DigestMethod Algorithm="http://www.w3.org/2001/04/xmlenc#sha256"/>
        <DigestValue>bQQUaav0ES9PScDITJoeMgSga22QjkUiOJhvRHhRQe8=</DigestValue>
      </Reference>
      <Reference URI="/word/media/image1.emf?ContentType=image/x-emf">
        <DigestMethod Algorithm="http://www.w3.org/2001/04/xmlenc#sha256"/>
        <DigestValue>00nS8pAhWc9JbX3rtl77pbUyz/TceOugIJ0hiNRg40g=</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5H1EbpJ05Vihljs2i8zhS3h/pSxAnJU+AA72uBX/gxk=</DigestValue>
      </Reference>
      <Reference URI="/word/settings.xml?ContentType=application/vnd.openxmlformats-officedocument.wordprocessingml.settings+xml">
        <DigestMethod Algorithm="http://www.w3.org/2001/04/xmlenc#sha256"/>
        <DigestValue>hvW5dAM+pRLWtZF5EzP++zMxaJhw6M5wAYgblCPr0GA=</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2026-01-16T12:14:45Z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2026-01-16T12:14:45Z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2N2XdLQAAAAAAAAAAAAAAMheTBj7fwAAAAAAAAAAAAAJAAAAAAAAAAAAMEFMAgAA9A7s+Pp/AAAAAAAAAAAAAAAAAAAAAAAAzHyJ2Z5JAABY35d0tAAAAHBwMbZMAgAA0LLew0wCAADAfza8TAIAAIDgl3QAAAAAUJAsvEwCAAAHAAAAAAAAAAAAAAAAAAAAvN+XdLQAAAD535d0tAAAAGFEIhj7fwAAAAAAAAAAAAAQk8utAAAAAAAAAAAAAAAAAAAAAAAAAADAfza8TAIAALvrJhj7fwAAYN+XdLQAAAD535d0t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O+Pp/AABgVDe8TAIAAAIAAAAAAAAAyF5MGPt/AAAAAAAAAAAAABH8APj6fwAAEJWjw0wCAADcLqH5+n8AAAAAAAAAAAAAAAAAAAAAAAC81YnZnkkAAAAA+/f6fwAAAAAAAAAAAADg////AAAAAMB/NrxMAgAAaHmXdAAAAAAAAAAAAAAAAAYAAAAAAAAAAAAAAAAAAACMeJd0tAAAAMl4l3S0AAAAYUQiGPt/AADoyZDZTAIAAJB3l3QAAAAA6MmQ2UwCAAAANLfDTAIAAMB/NrxMAgAAu+smGPt/AAAweJd0tAAAAMl4l3S0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kwY+38AAAAAAAAAAAAAAAAAAAAAAADISN3DTAIAABCipcNMAgAAAAAAAAAAAAAAAAAAAAAAAIzVidmeSQAAeCB7+Pp/AAAQcQDZTAIAAPD///8AAAAAwH82vEwCAABYeZd0AAAAAAAAAAAAAAAACQAAAAAAAAAAAAAAAAAAAHx4l3S0AAAAuXiXdLQAAABhRCIY+38AAJjJkNlMAgAAgHeXdAAAAACYyZDZTAIAAAAAAAAAAAAAwH82vEwCAAC76yYY+38AACB4l3S0AAAAuXiXdLQAAAAAAAAAAAAAAICBTr9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Jn5+n8AAAAwmfn6fwAAyF5MGPt/AAAAAAAAAAAAALEM7Pj6fwAAAHKFGvt/AACsxn35+n8AAAAAAAAAAAAAAAAAAAAAAADcOonZnkkAAIEP7Pj6fwAABAAAAAAAAAD1////AAAAAMB/NrxMAgAAiJ6XdAAAAAAAAAAAAAAAAAkAAAAAAAAAAAAAAAAAAACsnZd0tAAAAOmdl3S0AAAAYUQiGPt/AAAAAIMa+38AAAAAAAAAAAAAAAAAAEwCAAABAAAAAAAAAMB/NrxMAgAAu+smGPt/AABQnZd0tAAAAOmdl3S0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3Zd0tAAAAAAAAAAAAAAAyF5MGPt/AAAAAAAAAAAAAAkAAAAAAAAAAAAwQUwCAAD0Duz4+n8AAAAAAAAAAAAAAAAAAAAAAADMfInZnkkAAFjfl3S0AAAAcHAxtkwCAADQst7DTAIAAMB/NrxMAgAAgOCXdAAAAABQkCy8TAIAAAcAAAAAAAAAAAAAAAAAAAC835d0tAAAAPnfl3S0AAAAYUQiGPt/AAAAAAAAAAAAABCTy60AAAAAAAAAAAAAAAAAAAAAAAAAAMB/NrxMAgAAu+smGPt/AABg35d0tAAAAPnfl3S0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474+n8AAGBUN7xMAgAAAgAAAAAAAADIXkwY+38AAAAAAAAAAAAAEfwA+Pp/AAAQlaPDTAIAANwuofn6fwAAAAAAAAAAAAAAAAAAAAAAALzVidmeSQAAAAD79/p/AAAAAAAAAAAAAOD///8AAAAAwH82vEwCAABoeZd0AAAAAAAAAAAAAAAABgAAAAAAAAAAAAAAAAAAAIx4l3S0AAAAyXiXdLQAAABhRCIY+38AAOjJkNlMAgAAkHeXdAAAAADoyZDZTAIAAAA0t8NMAgAAwH82vEwCAAC76yYY+38AADB4l3S0AAAAyXiXdL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TBj7fwAAAAAAAAAAAAAAAAAAAAAAAMhI3cNMAgAAEKKlw0wCAAAAAAAAAAAAAAAAAAAAAAAAjNWJ2Z5JAAB4IHv4+n8AABBxANlMAgAA8P///wAAAADAfza8TAIAAFh5l3QAAAAAAAAAAAAAAAAJAAAAAAAAAAAAAAAAAAAAfHiXdLQAAAC5eJd0tAAAAGFEIhj7fwAAmMmQ2UwCAACAd5d0AAAAAJjJkNlMAgAAAAAAAAAAAADAfza8TAIAALvrJhj7fwAAIHiXdLQAAAC5eJd0tAAAAAAAAAAAAAAAgIFOv2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2319</Words>
  <Characters>13221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Branimira Vezhdarova</cp:lastModifiedBy>
  <cp:revision>7</cp:revision>
  <dcterms:created xsi:type="dcterms:W3CDTF">2025-09-11T10:07:00Z</dcterms:created>
  <dcterms:modified xsi:type="dcterms:W3CDTF">2026-01-15T13:15:00Z</dcterms:modified>
</cp:coreProperties>
</file>