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393A64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1C49627D" w:rsidR="00DC3250" w:rsidRPr="00750C3D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ЧРЕЗ ДИРЕКТНО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Pr="004D7879">
        <w:rPr>
          <w:rFonts w:ascii="Times New Roman" w:hAnsi="Times New Roman" w:cs="Times New Roman"/>
          <w:b/>
          <w:bCs/>
          <w:sz w:val="24"/>
          <w:szCs w:val="24"/>
        </w:rPr>
        <w:t>BG05SFPR001-1.005 „ОГРАМОТЯВАНЕ НА ВЪЗРАСТНИ (ЧРЕЗ ПРИЛАГАНЕ НА ПОДХОДА ИТИ)</w:t>
      </w:r>
      <w:r>
        <w:rPr>
          <w:rFonts w:ascii="Times New Roman" w:hAnsi="Times New Roman"/>
          <w:b/>
          <w:sz w:val="24"/>
          <w:szCs w:val="24"/>
        </w:rPr>
        <w:t>“</w:t>
      </w:r>
    </w:p>
    <w:p w14:paraId="6185A756" w14:textId="6BB291FB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2C5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AD7C69" w:rsidRPr="00F802C5">
        <w:rPr>
          <w:rFonts w:ascii="Times New Roman" w:hAnsi="Times New Roman" w:cs="Times New Roman"/>
          <w:b/>
          <w:bCs/>
          <w:sz w:val="24"/>
          <w:szCs w:val="24"/>
          <w:lang w:val="en-US"/>
        </w:rPr>
        <w:t>2</w:t>
      </w:r>
      <w:r w:rsidR="00AD6071">
        <w:rPr>
          <w:rFonts w:ascii="Times New Roman" w:hAnsi="Times New Roman" w:cs="Times New Roman"/>
          <w:b/>
          <w:bCs/>
          <w:sz w:val="24"/>
          <w:szCs w:val="24"/>
          <w:lang w:val="en-US"/>
        </w:rPr>
        <w:t>9</w:t>
      </w:r>
      <w:r w:rsidR="00621804" w:rsidRPr="00F802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67B44" w:rsidRPr="00F802C5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F802C5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DC3250" w:rsidRPr="00F802C5"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 w:rsidRPr="00F802C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F802C5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Default="008F7BFB" w:rsidP="00534AFE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7063677D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4D7879">
        <w:rPr>
          <w:lang w:val="bg-BG"/>
        </w:rPr>
        <w:t>19</w:t>
      </w:r>
      <w:r w:rsidR="004A725D" w:rsidRPr="004A725D">
        <w:rPr>
          <w:lang w:val="bg-BG"/>
        </w:rPr>
        <w:t xml:space="preserve">.12.2024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p w14:paraId="0A7A1981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 xml:space="preserve">Въпроси по процедура BG05SFPR001-1.005 „Ограмотяване на възрастни“ </w:t>
      </w:r>
    </w:p>
    <w:p w14:paraId="09312B6E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>От СНЦ Бизнес инкубатор – Гоце Делчев, ЦПП, конкретен бенефициент по процедурата</w:t>
      </w:r>
    </w:p>
    <w:p w14:paraId="3E5BCBF7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 xml:space="preserve">1. Възможно ли е да се разменят ролите на партньорите в проекта, като вписаният в одобрената концепция за ИТИ водещ партньор (ЮЛНЦ) да стане партньор, а партньорът (училище) да поеме ролята на кандидат? Размяната се налага, поради заложените в процедурата „Ограмотяване на възрастни“ ограничения за дейностите, изпълнявани от ЮЛНЦ и съответно за формиране на непреки разходи, чрез които би следвало да се покрие управлението на проект. </w:t>
      </w:r>
    </w:p>
    <w:p w14:paraId="62AC94A0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>2. Ако това не е възможно, могат ли средствата от непреките разходи на партньора да бъдат използвани от кандидата за дейностите за организация и управление и дейностите за мониторинг и за комуникация и видимост?</w:t>
      </w:r>
    </w:p>
    <w:p w14:paraId="11CEAC6C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>3. Възможно ли е в дейностите по проекта да бъдат включени целеви групи от съседни общини?</w:t>
      </w:r>
    </w:p>
    <w:p w14:paraId="40B96D19" w14:textId="77777777" w:rsidR="004D7879" w:rsidRP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>4. Ще има ли актуализиране на стипендиите, предвидени в процедурата, тъй като са по-ниски от стипендиите по други национални програми, което ще затрудни привличането на целевите групи?</w:t>
      </w:r>
    </w:p>
    <w:p w14:paraId="6D7E9FFB" w14:textId="249B24F6" w:rsidR="004D7879" w:rsidRDefault="004D7879" w:rsidP="00534AF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879">
        <w:rPr>
          <w:rFonts w:ascii="Times New Roman" w:hAnsi="Times New Roman" w:cs="Times New Roman"/>
          <w:sz w:val="24"/>
          <w:szCs w:val="24"/>
        </w:rPr>
        <w:t>5. Може ли да се планира изплащането на стипендиите за участие на участниците в обученията на месечна база?</w:t>
      </w:r>
    </w:p>
    <w:p w14:paraId="601D2DD1" w14:textId="6F3CEAD9" w:rsidR="004B4516" w:rsidRDefault="0021028A" w:rsidP="00534AF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3EFDA42C" w14:textId="045E4EFF" w:rsidR="00112DF3" w:rsidRPr="00295EC9" w:rsidRDefault="00112DF3" w:rsidP="00112D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1. Н</w:t>
      </w:r>
      <w:r w:rsidRPr="00854F16">
        <w:rPr>
          <w:rFonts w:ascii="Times New Roman" w:hAnsi="Times New Roman" w:cs="Times New Roman"/>
          <w:sz w:val="24"/>
          <w:szCs w:val="24"/>
          <w:lang w:eastAsia="en-GB"/>
        </w:rPr>
        <w:t>астоящата процедура се реализира чрез процедура за директно предоставяне на безвъзмездна финансова помощ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(БФП)</w:t>
      </w:r>
      <w:r w:rsidRPr="00854F16">
        <w:rPr>
          <w:rFonts w:ascii="Times New Roman" w:hAnsi="Times New Roman" w:cs="Times New Roman"/>
          <w:sz w:val="24"/>
          <w:szCs w:val="24"/>
          <w:lang w:eastAsia="en-GB"/>
        </w:rPr>
        <w:t xml:space="preserve"> на конкретни бенефициенти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>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Конкретните бенефициенти и партньорите са посочени в таблицата по т. 11 „Допустими кандидати“ от Условията за кандидатстване и е недопустима промяна, като проектните предложения следва да съответстват на одобрените комбинирани концепции за ИТИ, вкл. по отношение на кандидат и партньори.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Разходите по процедурата се планират за кандидата и партньорите съгласно Условията за кандидатстване</w:t>
      </w:r>
      <w:r w:rsidRPr="009F6053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и приложенията към тях: Приложение 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XIII </w:t>
      </w:r>
      <w:r w:rsidRPr="009F6053">
        <w:rPr>
          <w:rFonts w:ascii="Times New Roman" w:hAnsi="Times New Roman" w:cs="Times New Roman"/>
          <w:sz w:val="24"/>
          <w:szCs w:val="24"/>
          <w:lang w:eastAsia="en-GB"/>
        </w:rPr>
        <w:t>ТЕРЕС</w:t>
      </w:r>
      <w:r>
        <w:rPr>
          <w:rFonts w:ascii="Times New Roman" w:hAnsi="Times New Roman" w:cs="Times New Roman"/>
          <w:sz w:val="24"/>
          <w:szCs w:val="24"/>
          <w:lang w:eastAsia="en-GB"/>
        </w:rPr>
        <w:t>, Приложение</w:t>
      </w:r>
      <w:r w:rsidRPr="009F6053">
        <w:t xml:space="preserve"> </w:t>
      </w:r>
      <w:r w:rsidRPr="009F6053">
        <w:rPr>
          <w:rFonts w:ascii="Times New Roman" w:hAnsi="Times New Roman" w:cs="Times New Roman"/>
          <w:sz w:val="24"/>
          <w:szCs w:val="24"/>
          <w:lang w:eastAsia="en-GB"/>
        </w:rPr>
        <w:t>VI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Помощна таблица, Приложение  </w:t>
      </w:r>
      <w:r w:rsidRPr="009F6053">
        <w:rPr>
          <w:rFonts w:ascii="Times New Roman" w:hAnsi="Times New Roman" w:cs="Times New Roman"/>
          <w:sz w:val="24"/>
          <w:szCs w:val="24"/>
          <w:lang w:eastAsia="en-GB"/>
        </w:rPr>
        <w:t>XIX Условия за възстановяване на разходите</w:t>
      </w:r>
      <w:r w:rsidR="00393A64">
        <w:rPr>
          <w:rFonts w:ascii="Times New Roman" w:hAnsi="Times New Roman" w:cs="Times New Roman"/>
          <w:sz w:val="24"/>
          <w:szCs w:val="24"/>
          <w:lang w:eastAsia="en-GB"/>
        </w:rPr>
        <w:t>,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като партньорите също следва да разходват средства от </w:t>
      </w:r>
      <w:r>
        <w:rPr>
          <w:rFonts w:ascii="Times New Roman" w:hAnsi="Times New Roman" w:cs="Times New Roman"/>
          <w:sz w:val="24"/>
          <w:szCs w:val="24"/>
          <w:lang w:eastAsia="en-GB"/>
        </w:rPr>
        <w:lastRenderedPageBreak/>
        <w:t>БФП с</w:t>
      </w:r>
      <w:r w:rsidRPr="00E340A7">
        <w:rPr>
          <w:rFonts w:ascii="Times New Roman" w:hAnsi="Times New Roman" w:cs="Times New Roman"/>
          <w:sz w:val="24"/>
          <w:szCs w:val="24"/>
          <w:lang w:eastAsia="en-GB"/>
        </w:rPr>
        <w:t>ъгласно §1, т. 5 от Допълнителните разпоредби на ПМС № 23/13.02.2023 г. за определяне на детайлни правила за предоставяне на безвъзмездна финансова помощ по програмите, финансирани от Европейските фондове при споделено управление за програмен период 2021 – 2027 г.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Съгласно УК, дейност 2 и дейност 3 се извършват само от училища. В тази връзка свързаните с тях преки разходи следва да бъдат планирани само за училища. По отношение на непреките разходи в УК няма ограничения кой може да ги извършва и следователно същите могат да се планират само за кандидата или само за един от партньорите или да се разпределят между участници в партньорството независимо от разпределението на преките разходи между тях. Имайте предвид, че бюджетът  в Помощната таблица е примерен и следва да се прецизира в 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 xml:space="preserve">зависимост от параметрите на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конкретното 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>проектно предложение</w:t>
      </w:r>
      <w:r>
        <w:rPr>
          <w:rFonts w:ascii="Times New Roman" w:hAnsi="Times New Roman" w:cs="Times New Roman"/>
          <w:sz w:val="24"/>
          <w:szCs w:val="24"/>
          <w:lang w:eastAsia="en-GB"/>
        </w:rPr>
        <w:t>, като п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 xml:space="preserve">ри необходимост </w:t>
      </w:r>
      <w:r>
        <w:rPr>
          <w:rFonts w:ascii="Times New Roman" w:hAnsi="Times New Roman" w:cs="Times New Roman"/>
          <w:sz w:val="24"/>
          <w:szCs w:val="24"/>
          <w:lang w:eastAsia="en-GB"/>
        </w:rPr>
        <w:t>се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 xml:space="preserve"> променя</w:t>
      </w:r>
      <w:r>
        <w:rPr>
          <w:rFonts w:ascii="Times New Roman" w:hAnsi="Times New Roman" w:cs="Times New Roman"/>
          <w:sz w:val="24"/>
          <w:szCs w:val="24"/>
          <w:lang w:eastAsia="en-GB"/>
        </w:rPr>
        <w:t>т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съответните 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>формули</w:t>
      </w:r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  <w:r w:rsidRPr="00B3033B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238FFE55" w14:textId="77777777" w:rsidR="00112DF3" w:rsidRDefault="00112DF3" w:rsidP="00112D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2. Допустимите преки и непреки разходи по процедурата се планират за и по преценка на кандидата и/или всеки партньор, когато е приложимо, според спецификата на проектното предложение и съгласно представената </w:t>
      </w:r>
      <w:r w:rsidRPr="001C4E31">
        <w:rPr>
          <w:rFonts w:ascii="Times New Roman" w:hAnsi="Times New Roman" w:cs="Times New Roman"/>
          <w:sz w:val="24"/>
          <w:szCs w:val="24"/>
          <w:lang w:eastAsia="en-GB"/>
        </w:rPr>
        <w:t>Помощна таблица (Приложение VI към Условията за кандидатстване).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В допълнение, подробна информация за възстановяване на непреките разходи е описана в </w:t>
      </w:r>
      <w:r w:rsidRPr="00FA7CC4">
        <w:rPr>
          <w:rFonts w:ascii="Times New Roman" w:hAnsi="Times New Roman" w:cs="Times New Roman"/>
          <w:sz w:val="24"/>
          <w:szCs w:val="24"/>
          <w:lang w:eastAsia="en-GB"/>
        </w:rPr>
        <w:t>Условия за възстановяване на разходите по процедура BG05SFPR001-1.005 „Ограмотяване на възрастни (чрез прилагане на подхода ИТИ)“ (Приложение XIX</w:t>
      </w:r>
      <w:r w:rsidRPr="00E314DF">
        <w:t xml:space="preserve"> </w:t>
      </w:r>
      <w:r w:rsidRPr="00E314DF">
        <w:rPr>
          <w:rFonts w:ascii="Times New Roman" w:hAnsi="Times New Roman" w:cs="Times New Roman"/>
          <w:sz w:val="24"/>
          <w:szCs w:val="24"/>
          <w:lang w:eastAsia="en-GB"/>
        </w:rPr>
        <w:t>към Условията за кандидатстване</w:t>
      </w:r>
      <w:r w:rsidRPr="00FA7CC4">
        <w:rPr>
          <w:rFonts w:ascii="Times New Roman" w:hAnsi="Times New Roman" w:cs="Times New Roman"/>
          <w:sz w:val="24"/>
          <w:szCs w:val="24"/>
          <w:lang w:eastAsia="en-GB"/>
        </w:rPr>
        <w:t>)</w:t>
      </w:r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661CCE41" w14:textId="77777777" w:rsidR="00112DF3" w:rsidRDefault="00112DF3" w:rsidP="00112D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3. В допълнение към планираното в одобрените комбинирани концепции за ИТИ, допустимите дейности по настоящата процедура не ограничават включването на целеви групи от съседни общини.</w:t>
      </w:r>
    </w:p>
    <w:p w14:paraId="7A218979" w14:textId="77777777" w:rsidR="00112DF3" w:rsidRDefault="00112DF3" w:rsidP="00112D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4. Определянето на единичните разходи за стипендии, както и периодичното им актуализиране, ако е приложимо, са детайлно</w:t>
      </w:r>
      <w:r w:rsidRPr="00500011"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описани</w:t>
      </w:r>
      <w:r w:rsidRPr="00500011">
        <w:rPr>
          <w:rFonts w:ascii="Times New Roman" w:hAnsi="Times New Roman" w:cs="Times New Roman"/>
          <w:sz w:val="24"/>
          <w:szCs w:val="24"/>
          <w:lang w:eastAsia="en-GB"/>
        </w:rPr>
        <w:t xml:space="preserve"> в ТЕРЕС Ограмотяване (Приложение XIII към Условията за кандидат</w:t>
      </w:r>
      <w:r>
        <w:rPr>
          <w:rFonts w:ascii="Times New Roman" w:hAnsi="Times New Roman" w:cs="Times New Roman"/>
          <w:sz w:val="24"/>
          <w:szCs w:val="24"/>
          <w:lang w:eastAsia="en-GB"/>
        </w:rPr>
        <w:t>ст</w:t>
      </w:r>
      <w:r w:rsidRPr="00500011">
        <w:rPr>
          <w:rFonts w:ascii="Times New Roman" w:hAnsi="Times New Roman" w:cs="Times New Roman"/>
          <w:sz w:val="24"/>
          <w:szCs w:val="24"/>
          <w:lang w:eastAsia="en-GB"/>
        </w:rPr>
        <w:t>ване)</w:t>
      </w:r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73A3DC71" w14:textId="77777777" w:rsidR="00112DF3" w:rsidRPr="00FA7CC4" w:rsidRDefault="00112DF3" w:rsidP="00112D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5. Детайлна информация относно стипендиите за участие </w:t>
      </w:r>
      <w:r w:rsidRPr="00500011">
        <w:rPr>
          <w:rFonts w:ascii="Times New Roman" w:hAnsi="Times New Roman" w:cs="Times New Roman"/>
          <w:sz w:val="24"/>
          <w:szCs w:val="24"/>
          <w:lang w:eastAsia="en-GB"/>
        </w:rPr>
        <w:t>е дадена в ТЕРЕС Ограмотяване (Приложение XIII към Условията за кандидат</w:t>
      </w:r>
      <w:r>
        <w:rPr>
          <w:rFonts w:ascii="Times New Roman" w:hAnsi="Times New Roman" w:cs="Times New Roman"/>
          <w:sz w:val="24"/>
          <w:szCs w:val="24"/>
          <w:lang w:eastAsia="en-GB"/>
        </w:rPr>
        <w:t>ст</w:t>
      </w:r>
      <w:r w:rsidRPr="00500011">
        <w:rPr>
          <w:rFonts w:ascii="Times New Roman" w:hAnsi="Times New Roman" w:cs="Times New Roman"/>
          <w:sz w:val="24"/>
          <w:szCs w:val="24"/>
          <w:lang w:eastAsia="en-GB"/>
        </w:rPr>
        <w:t>ване) и Указния за попълване на Помощна таблица (Приложение XI към Условията за кандидатстване).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В допълнение, </w:t>
      </w:r>
      <w:r w:rsidRPr="00F838A6">
        <w:rPr>
          <w:rFonts w:ascii="Times New Roman" w:hAnsi="Times New Roman" w:cs="Times New Roman"/>
          <w:sz w:val="24"/>
          <w:szCs w:val="24"/>
          <w:lang w:eastAsia="en-GB"/>
        </w:rPr>
        <w:t xml:space="preserve">информация за възстановяване на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единичните </w:t>
      </w:r>
      <w:r w:rsidRPr="00F838A6">
        <w:rPr>
          <w:rFonts w:ascii="Times New Roman" w:hAnsi="Times New Roman" w:cs="Times New Roman"/>
          <w:sz w:val="24"/>
          <w:szCs w:val="24"/>
          <w:lang w:eastAsia="en-GB"/>
        </w:rPr>
        <w:t>разходи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за стипендии за участие</w:t>
      </w:r>
      <w:r w:rsidRPr="00F838A6">
        <w:rPr>
          <w:rFonts w:ascii="Times New Roman" w:hAnsi="Times New Roman" w:cs="Times New Roman"/>
          <w:sz w:val="24"/>
          <w:szCs w:val="24"/>
          <w:lang w:eastAsia="en-GB"/>
        </w:rPr>
        <w:t xml:space="preserve"> е описана в Условия за възстановяване на разходите по процедура BG05SFPR001-1.005 „Ограмотяване на възрастни (чрез прилагане на подхода ИТИ)“ (Приложение XIX</w:t>
      </w:r>
      <w:r w:rsidRPr="00402504">
        <w:t xml:space="preserve"> </w:t>
      </w:r>
      <w:r w:rsidRPr="00402504">
        <w:rPr>
          <w:rFonts w:ascii="Times New Roman" w:hAnsi="Times New Roman" w:cs="Times New Roman"/>
          <w:sz w:val="24"/>
          <w:szCs w:val="24"/>
          <w:lang w:eastAsia="en-GB"/>
        </w:rPr>
        <w:t>към Условията за кандидатстване</w:t>
      </w:r>
      <w:r w:rsidRPr="00F838A6">
        <w:rPr>
          <w:rFonts w:ascii="Times New Roman" w:hAnsi="Times New Roman" w:cs="Times New Roman"/>
          <w:sz w:val="24"/>
          <w:szCs w:val="24"/>
          <w:lang w:eastAsia="en-GB"/>
        </w:rPr>
        <w:t>).</w:t>
      </w:r>
    </w:p>
    <w:p w14:paraId="26C0AF26" w14:textId="13AFD88F" w:rsidR="00F56DD3" w:rsidRPr="006E2AA8" w:rsidRDefault="00F56DD3" w:rsidP="00534AFE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30A200" w14:textId="77777777" w:rsidR="004D7879" w:rsidRPr="00A83836" w:rsidRDefault="004D7879" w:rsidP="00BB1FD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4D7879" w:rsidRPr="00A8383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C31EC" w14:textId="77777777" w:rsidR="007C6F00" w:rsidRDefault="007C6F00" w:rsidP="004B4516">
      <w:pPr>
        <w:spacing w:after="0" w:line="240" w:lineRule="auto"/>
      </w:pPr>
      <w:r>
        <w:separator/>
      </w:r>
    </w:p>
  </w:endnote>
  <w:endnote w:type="continuationSeparator" w:id="0">
    <w:p w14:paraId="1115B7B3" w14:textId="77777777" w:rsidR="007C6F00" w:rsidRDefault="007C6F00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6C0F1" w14:textId="77777777" w:rsidR="007C6F00" w:rsidRDefault="007C6F00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6B66F0D4" w14:textId="77777777" w:rsidR="007C6F00" w:rsidRDefault="007C6F00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4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19"/>
  </w:num>
  <w:num w:numId="19">
    <w:abstractNumId w:val="14"/>
  </w:num>
  <w:num w:numId="20">
    <w:abstractNumId w:val="18"/>
  </w:num>
  <w:num w:numId="21">
    <w:abstractNumId w:val="23"/>
  </w:num>
  <w:num w:numId="22">
    <w:abstractNumId w:val="22"/>
  </w:num>
  <w:num w:numId="23">
    <w:abstractNumId w:val="3"/>
  </w:num>
  <w:num w:numId="24">
    <w:abstractNumId w:val="1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12DF3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3CA9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9F6DEF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071"/>
    <w:rsid w:val="00AD6A43"/>
    <w:rsid w:val="00AD7C69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58D8"/>
    <w:rsid w:val="00F77C43"/>
    <w:rsid w:val="00F802C5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7imEnK10rqzDhv5FdCJaVDyTH/emX1ytFvXsZdqLrLw=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YLiyj+3oCEDsWDVIo5gCcV2MtNJyqcyNprUTgPxva/Y=</DigestValue>
    </Reference>
    <Reference Type="http://www.w3.org/2000/09/xmldsig#Object" URI="#idValidSigLnImg">
      <DigestMethod Algorithm="http://www.w3.org/2001/04/xmlenc#sha256"/>
      <DigestValue>RMe5RxGyAkPKi+7Uv5E/NOXW7zZrTTcmqCNu1lhkplY=</DigestValue>
    </Reference>
    <Reference Type="http://www.w3.org/2000/09/xmldsig#Object" URI="#idInvalidSigLnImg">
      <DigestMethod Algorithm="http://www.w3.org/2001/04/xmlenc#sha256"/>
      <DigestValue>Xl+BCs5Mru0sY0haIRotK+FQJs6U8iSAW1+VOKSk+G4=</DigestValue>
    </Reference>
  </SignedInfo>
  <SignatureValue>ceEuyFs9O/eUQDTyk3L88dBV/lK93KkJjobJpWxNulvGY+YK52kWGSnjPXHAlWIfjbz4urux/UXP
1AwNu8g8sHMoX19YsOT/eMkoHiAoXs/C0Zyd/ObqLp77OIKZOGo9P3jnTvBmTf1DsFED6+tUyda5
4alP9/145U4QNvC4Q0wSaD35q0vb6ch3Fo1FW5JbRPkRf0ha+/DoWoY4Ihsw32iEeiI+/T/dXtbH
chh+ZM0doigSy5lcCbWWwiboGBG216K5Pxyizf6ms9WhqA2jJHEM2E/U7SgpcBKXKlKSbGMHT7u5
TcMzcR6Dpi2q2ZpTBs6/0X8KUcmeuqhbKph2lg==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JcZ3P8A0MRXUuUEV61lkDc/H955ZLbROOKUaO9lI/pk=</DigestValue>
      </Reference>
      <Reference URI="/word/endnotes.xml?ContentType=application/vnd.openxmlformats-officedocument.wordprocessingml.endnotes+xml">
        <DigestMethod Algorithm="http://www.w3.org/2001/04/xmlenc#sha256"/>
        <DigestValue>o0/tc4PofBl1ZrOx8BE4iTyAnWsHNbWNhFSg7DB0EdI=</DigestValue>
      </Reference>
      <Reference URI="/word/fontTable.xml?ContentType=application/vnd.openxmlformats-officedocument.wordprocessingml.fontTable+xml">
        <DigestMethod Algorithm="http://www.w3.org/2001/04/xmlenc#sha256"/>
        <DigestValue>FqMiigRkXA5I7hHKQKsd5cGRz9JPilCMk0Kaj2oYVzM=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O74uFnUNbqNiPvfQ4dZuTO6xIHOcS5aJS9EQCCYbVvQ=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oP65zjSsmkA1Pa//BBDGGuDrK+wW1GDHoQXTaYGh6oM=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L3ATWD0iQh0ma+un5HPH83hl1LKHyPr0Lz/3cSLZtW8=</DigestValue>
      </Reference>
      <Reference URI="/word/settings.xml?ContentType=application/vnd.openxmlformats-officedocument.wordprocessingml.settings+xml">
        <DigestMethod Algorithm="http://www.w3.org/2001/04/xmlenc#sha256"/>
        <DigestValue>mGKO2rZbzqnCWwnrRh7bmm9kg/YY3wpGWJSm54kXgUg=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2024-12-30T15:09:52Z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2024-12-30T15:09:52Z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j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AAAAAASAAAADAAAAAEAAAAeAAAAGAAAALQAAAAEAAAA9wAAABEAAAAlAAAADAAAAAEAAABUAAAAnAAAALUAAAAEAAAA9QAAABAAAAABAAAAAADIQQAAyEG1AAAABAAAAA0AAABMAAAAAAAAAAAAAAAAAAAA//////////9oAAAAMwAwAC4AMQAyAC4AMgAwADIANA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  <Object Id="idInvalidSigLnImg">AQAAAGwAAAAAAAAAAAAAAP8AAAB/AAAAAAAAAAAAAAAAGQAAgAwAACBFTUYAAAEA8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Mariya Stanevska</cp:lastModifiedBy>
  <cp:revision>4</cp:revision>
  <dcterms:created xsi:type="dcterms:W3CDTF">2024-12-30T07:27:00Z</dcterms:created>
  <dcterms:modified xsi:type="dcterms:W3CDTF">2024-12-30T08:08:00Z</dcterms:modified>
</cp:coreProperties>
</file>