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1C3859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719AD9F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767B44" w:rsidRPr="00767B44">
        <w:rPr>
          <w:rFonts w:ascii="Times New Roman" w:hAnsi="Times New Roman"/>
          <w:b/>
          <w:sz w:val="24"/>
          <w:szCs w:val="24"/>
        </w:rPr>
        <w:t xml:space="preserve">BG05SFPR001-1.006 </w:t>
      </w:r>
      <w:r w:rsidR="00767B44">
        <w:rPr>
          <w:rFonts w:ascii="Times New Roman" w:hAnsi="Times New Roman"/>
          <w:b/>
          <w:sz w:val="24"/>
          <w:szCs w:val="24"/>
        </w:rPr>
        <w:t>„</w:t>
      </w:r>
      <w:r w:rsidR="00767B44" w:rsidRPr="00767B44">
        <w:rPr>
          <w:rFonts w:ascii="Times New Roman" w:hAnsi="Times New Roman"/>
          <w:b/>
          <w:sz w:val="24"/>
          <w:szCs w:val="24"/>
        </w:rPr>
        <w:t>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</w:t>
      </w:r>
      <w:r w:rsidR="00767B44">
        <w:rPr>
          <w:rFonts w:ascii="Times New Roman" w:hAnsi="Times New Roman"/>
          <w:b/>
          <w:sz w:val="24"/>
          <w:szCs w:val="24"/>
        </w:rPr>
        <w:t>“</w:t>
      </w:r>
    </w:p>
    <w:p w14:paraId="6185A756" w14:textId="482E3FED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D7BA9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="0062180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DC3250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830F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FE5E599" w:rsidR="004B4516" w:rsidRPr="0021028A" w:rsidRDefault="004B4516" w:rsidP="00E11FD7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4A725D" w:rsidRPr="004A725D">
        <w:rPr>
          <w:lang w:val="bg-BG"/>
        </w:rPr>
        <w:t xml:space="preserve">05.12.2024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7675DD93" w14:textId="77777777" w:rsidR="00F56DD3" w:rsidRP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>1. Допустимо ли е директора на училището бенефициент да е ръководител на проекта по процедурата чрез директно предоставяне на безвъзмездна финансова помощ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по Програма „Образование“ 2021-2027 г.?</w:t>
      </w:r>
    </w:p>
    <w:p w14:paraId="22C24EA9" w14:textId="77777777" w:rsidR="00F56DD3" w:rsidRP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 xml:space="preserve"> 2. Ако е допустимо директорът на училището бенефициент да изпълнява дейности по проекта, то кой сключва договор с директора за дейностите, които ще изпълнява. </w:t>
      </w:r>
    </w:p>
    <w:p w14:paraId="1F392B40" w14:textId="77777777" w:rsidR="00F56DD3" w:rsidRDefault="00F56DD3" w:rsidP="00F56DD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D3">
        <w:rPr>
          <w:rFonts w:ascii="Times New Roman" w:hAnsi="Times New Roman" w:cs="Times New Roman"/>
          <w:sz w:val="24"/>
          <w:szCs w:val="24"/>
        </w:rPr>
        <w:t>3. Допустимо ли е директорът на училището бенефициент да получава заплащане по проекта за изпълнената от него работа като ръководител на проекта, описана по теми и брой астрономически часове?</w:t>
      </w:r>
    </w:p>
    <w:p w14:paraId="601D2DD1" w14:textId="6F3CEAD9" w:rsidR="004B4516" w:rsidRDefault="0021028A" w:rsidP="00F56DD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D165A1A" w14:textId="77777777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1. Процедурата не поставя ограничения кой да бъде ръководител на проекта.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>Екипът за организация и управление на проектното предложение се планира по преценка на кандидата и партньорите му при съобразяване с изискванията в т.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11, раздел „Административен капацитет“ от Условията за кандидатстване.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3D8B76FB" w14:textId="794F4E55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</w:t>
      </w:r>
      <w:r w:rsidRPr="00E75E51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Н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>азначаването на членовете на екипа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организация и управление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 xml:space="preserve"> е в оперативната самостоятелност на бенефициента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и партньорите</w:t>
      </w:r>
      <w:r w:rsidRPr="005F3B47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чл. 49, ал. 3 от </w:t>
      </w:r>
      <w:r w:rsidR="002C2FAB" w:rsidRPr="002C2FAB">
        <w:rPr>
          <w:rFonts w:ascii="Times New Roman" w:hAnsi="Times New Roman" w:cs="Times New Roman"/>
          <w:sz w:val="24"/>
          <w:szCs w:val="24"/>
          <w:lang w:eastAsia="en-GB"/>
        </w:rPr>
        <w:t>Закона за управление на средствата от Европейските фондове при споделено управление (ЗУСЕФСУ)</w:t>
      </w:r>
      <w:r w:rsidR="004B1176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дейностите по управление или изпълнение на проект се възлагат на служители на бенефициента/партньорите от работодателя на съответното лице. При всички случаи с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ледва да се </w:t>
      </w:r>
      <w:r>
        <w:rPr>
          <w:rFonts w:ascii="Times New Roman" w:hAnsi="Times New Roman" w:cs="Times New Roman"/>
          <w:sz w:val="24"/>
          <w:szCs w:val="24"/>
          <w:lang w:eastAsia="en-GB"/>
        </w:rPr>
        <w:t>предвидят подходящи мерки за недопускане на потенциален</w:t>
      </w:r>
      <w:r w:rsidRPr="00DB7537">
        <w:rPr>
          <w:rFonts w:ascii="Times New Roman" w:hAnsi="Times New Roman" w:cs="Times New Roman"/>
          <w:sz w:val="24"/>
          <w:szCs w:val="24"/>
          <w:lang w:eastAsia="en-GB"/>
        </w:rPr>
        <w:t xml:space="preserve"> конфликт на интереси при определянето на екип</w:t>
      </w:r>
      <w:r>
        <w:rPr>
          <w:rFonts w:ascii="Times New Roman" w:hAnsi="Times New Roman" w:cs="Times New Roman"/>
          <w:sz w:val="24"/>
          <w:szCs w:val="24"/>
          <w:lang w:eastAsia="en-GB"/>
        </w:rPr>
        <w:t>а, възлагането на функции по управлението или изпълнението на проекта и отчитането на извършената работа.</w:t>
      </w:r>
    </w:p>
    <w:p w14:paraId="2A60455D" w14:textId="7D8E97C3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3. 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Разходите за възнагражденията на екипа за организация и управление се планират като </w:t>
      </w:r>
      <w:r w:rsidRPr="0096490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непреки разходи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 в бюджетен ред „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Други преки и непреки разходи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“ (който се изчислява като единна ставка в размер на 40% от бюджетен ред 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1.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64908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Преки разходи за персонал</w:t>
      </w:r>
      <w:r w:rsidRPr="00C67382">
        <w:rPr>
          <w:rFonts w:ascii="Times New Roman" w:hAnsi="Times New Roman" w:cs="Times New Roman"/>
          <w:sz w:val="24"/>
          <w:szCs w:val="24"/>
          <w:lang w:eastAsia="en-GB"/>
        </w:rPr>
        <w:t>).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805DB0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Възлагането на задължения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на екипа за организация и 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управление на проекта, както и определянето на техните възнаграждения, се извършва при спазване на ЗУСЕФСУ,</w:t>
      </w:r>
      <w:r w:rsidRPr="004E22BB">
        <w:t xml:space="preserve"> 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ПМС № 86/01.06.2023 г. за определяне на национални правила за допустимост на разходите по програмите, финансирани от Европейските фондове при споделено управление за програмен период 2021-2027 г., приложимо</w:t>
      </w:r>
      <w:r>
        <w:rPr>
          <w:rFonts w:ascii="Times New Roman" w:hAnsi="Times New Roman" w:cs="Times New Roman"/>
          <w:sz w:val="24"/>
          <w:szCs w:val="24"/>
          <w:lang w:eastAsia="en-GB"/>
        </w:rPr>
        <w:t>то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 xml:space="preserve"> законодателство и вътрешните правила на бенефициент</w:t>
      </w:r>
      <w:r>
        <w:rPr>
          <w:rFonts w:ascii="Times New Roman" w:hAnsi="Times New Roman" w:cs="Times New Roman"/>
          <w:sz w:val="24"/>
          <w:szCs w:val="24"/>
          <w:lang w:eastAsia="en-GB"/>
        </w:rPr>
        <w:t>а</w:t>
      </w:r>
      <w:r w:rsidRPr="00CF66F6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A51D3E1" w14:textId="77777777" w:rsidR="006E2AA8" w:rsidRDefault="006E2AA8" w:rsidP="006E2AA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В тази връзка, по процедурата няма ограничение директорът на училището бенефициент да получава заплащане като ръководител на проекта.</w:t>
      </w:r>
      <w:r w:rsidRPr="00DB7537"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Всички непреки разходи се предоставят под формата на финансиране с единна ставка, което означава, че пред Управляващия орган не се отчитат отработени часове и </w:t>
      </w:r>
      <w:proofErr w:type="spellStart"/>
      <w:r>
        <w:rPr>
          <w:rFonts w:ascii="Times New Roman" w:hAnsi="Times New Roman" w:cs="Times New Roman"/>
          <w:sz w:val="24"/>
          <w:szCs w:val="24"/>
          <w:lang w:eastAsia="en-GB"/>
        </w:rPr>
        <w:t>разходооправдателни</w:t>
      </w:r>
      <w:proofErr w:type="spellEnd"/>
      <w:r>
        <w:rPr>
          <w:rFonts w:ascii="Times New Roman" w:hAnsi="Times New Roman" w:cs="Times New Roman"/>
          <w:sz w:val="24"/>
          <w:szCs w:val="24"/>
          <w:lang w:eastAsia="en-GB"/>
        </w:rPr>
        <w:t xml:space="preserve"> документи.</w:t>
      </w:r>
    </w:p>
    <w:p w14:paraId="26C0AF26" w14:textId="0C7D558E" w:rsidR="00F56DD3" w:rsidRPr="006E2AA8" w:rsidRDefault="006E2AA8" w:rsidP="00F56DD3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допълнение, в </w:t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 за възстановяване на разходите по процедура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0F0F0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Приложение </w:t>
      </w:r>
      <w:r w:rsidRPr="000F0F0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XX </w:t>
      </w:r>
      <w:r w:rsidRPr="000F0F0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към</w:t>
      </w:r>
      <w:r w:rsidRPr="00145EB5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Условията за </w:t>
      </w:r>
      <w:r w:rsidRPr="00733573">
        <w:rPr>
          <w:rFonts w:ascii="Times New Roman" w:hAnsi="Times New Roman" w:cs="Times New Roman"/>
          <w:sz w:val="24"/>
          <w:szCs w:val="24"/>
          <w:lang w:eastAsia="en-GB"/>
        </w:rPr>
        <w:t>кандидатстване</w:t>
      </w:r>
      <w:r>
        <w:rPr>
          <w:rFonts w:ascii="Times New Roman" w:hAnsi="Times New Roman" w:cs="Times New Roman"/>
          <w:sz w:val="24"/>
          <w:szCs w:val="24"/>
          <w:lang w:eastAsia="en-GB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0F0F03">
        <w:rPr>
          <w:rFonts w:ascii="Times New Roman" w:hAnsi="Times New Roman" w:cs="Times New Roman"/>
          <w:color w:val="000000" w:themeColor="text1"/>
          <w:sz w:val="24"/>
          <w:szCs w:val="24"/>
        </w:rPr>
        <w:t>раздел III.1. Други преки и непреки разходи, са посочени отчетните документи, които трябва да се представят за възстановяване на разходите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CF8294" w14:textId="77777777" w:rsidR="00CD7BA9" w:rsidRDefault="00CD7BA9" w:rsidP="00CD7BA9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4636FA">
        <w:rPr>
          <w:szCs w:val="24"/>
          <w:lang w:val="bg-BG"/>
        </w:rPr>
        <w:t>ВЪПРОС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11</w:t>
      </w:r>
      <w:r w:rsidRPr="004636FA">
        <w:rPr>
          <w:szCs w:val="24"/>
          <w:lang w:val="bg-BG"/>
        </w:rPr>
        <w:t>.</w:t>
      </w:r>
      <w:r>
        <w:rPr>
          <w:szCs w:val="24"/>
          <w:lang w:val="en-US"/>
        </w:rPr>
        <w:t>12</w:t>
      </w:r>
      <w:r w:rsidRPr="004636FA">
        <w:rPr>
          <w:szCs w:val="24"/>
          <w:lang w:val="bg-BG"/>
        </w:rPr>
        <w:t>.2024 г. (</w:t>
      </w:r>
      <w:r w:rsidRPr="00740EF2">
        <w:rPr>
          <w:szCs w:val="24"/>
          <w:lang w:val="bg-BG"/>
        </w:rPr>
        <w:t>Q00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>постъпил чрез ИСУН):</w:t>
      </w:r>
    </w:p>
    <w:p w14:paraId="15D14115" w14:textId="77777777" w:rsidR="00CD7BA9" w:rsidRPr="00F82552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82552">
        <w:rPr>
          <w:rFonts w:ascii="Times New Roman" w:hAnsi="Times New Roman" w:cs="Times New Roman"/>
          <w:sz w:val="24"/>
          <w:szCs w:val="24"/>
          <w:lang w:eastAsia="en-GB"/>
        </w:rPr>
        <w:t>По Дейност 3. Мобилност и обмяна на опит се планират средства за Възнаграждения на педагогически специалисти  при обмяна на опит и Възнаграждения на педагогически специалисти при мобилност-учители и др. Моля за разяснение:</w:t>
      </w:r>
    </w:p>
    <w:p w14:paraId="17BA89E3" w14:textId="77777777" w:rsidR="00CD7BA9" w:rsidRPr="00F82552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82552">
        <w:rPr>
          <w:rFonts w:ascii="Times New Roman" w:hAnsi="Times New Roman" w:cs="Times New Roman"/>
          <w:sz w:val="24"/>
          <w:szCs w:val="24"/>
          <w:lang w:eastAsia="en-GB"/>
        </w:rPr>
        <w:t>1. Средствата ще се получават от участниците /педагогически специалисти/ в обмяната на опит и мобилността?</w:t>
      </w:r>
    </w:p>
    <w:p w14:paraId="6A489956" w14:textId="77777777" w:rsidR="00CD7BA9" w:rsidRPr="00F82552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82552">
        <w:rPr>
          <w:rFonts w:ascii="Times New Roman" w:hAnsi="Times New Roman" w:cs="Times New Roman"/>
          <w:sz w:val="24"/>
          <w:szCs w:val="24"/>
          <w:lang w:eastAsia="en-GB"/>
        </w:rPr>
        <w:t>2. Какво се има предвид под "гост-преподаватели" при мярката за мобилност?</w:t>
      </w:r>
    </w:p>
    <w:p w14:paraId="7E2F6A34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ОТГОВОР: </w:t>
      </w:r>
    </w:p>
    <w:p w14:paraId="7C0A57A8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15058">
        <w:rPr>
          <w:rFonts w:ascii="Times New Roman" w:hAnsi="Times New Roman" w:cs="Times New Roman"/>
          <w:sz w:val="24"/>
          <w:szCs w:val="24"/>
          <w:lang w:eastAsia="en-GB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</w:t>
      </w:r>
      <w:r w:rsidRPr="008867B9">
        <w:rPr>
          <w:rFonts w:ascii="Times New Roman" w:hAnsi="Times New Roman" w:cs="Times New Roman"/>
          <w:sz w:val="24"/>
          <w:szCs w:val="24"/>
          <w:lang w:eastAsia="en-GB"/>
        </w:rPr>
        <w:t>Условия за възстановяване на разходите по процедура BG05SFPR001-1.006 „Комплексни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ИТИ)“ (</w:t>
      </w:r>
      <w:r w:rsidRPr="008867B9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Приложение XX към Условията за кандидатстване</w:t>
      </w:r>
      <w:r w:rsidRPr="008867B9">
        <w:rPr>
          <w:rFonts w:ascii="Times New Roman" w:hAnsi="Times New Roman" w:cs="Times New Roman"/>
          <w:sz w:val="24"/>
          <w:szCs w:val="24"/>
          <w:lang w:eastAsia="en-GB"/>
        </w:rPr>
        <w:t>),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раздел </w:t>
      </w:r>
      <w:r w:rsidRPr="008867B9">
        <w:rPr>
          <w:rFonts w:ascii="Times New Roman" w:hAnsi="Times New Roman" w:cs="Times New Roman"/>
          <w:sz w:val="24"/>
          <w:szCs w:val="24"/>
          <w:lang w:eastAsia="en-GB"/>
        </w:rPr>
        <w:t>II.3. Единични разходи за възнаграждения на наетите експерти по Дейност 3</w:t>
      </w:r>
      <w:r>
        <w:rPr>
          <w:rFonts w:ascii="Times New Roman" w:hAnsi="Times New Roman" w:cs="Times New Roman"/>
          <w:sz w:val="24"/>
          <w:szCs w:val="24"/>
          <w:lang w:eastAsia="en-GB"/>
        </w:rPr>
        <w:t>:</w:t>
      </w:r>
    </w:p>
    <w:p w14:paraId="33D1B128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„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Размерът на допустимите разходи за възнаграждения на лицата по Дейност 3 за мобилност и обмяна на опит се определя както следва:</w:t>
      </w:r>
    </w:p>
    <w:p w14:paraId="0E861F61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• </w:t>
      </w:r>
      <w:r w:rsidRPr="00F73A3B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Мобилност и обмяна на опит на управленско ниво от директори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– броят на отработените астрономически часове от всеки директор се умножи по единичния разход за почасово възнаграждение за астрономически час.</w:t>
      </w:r>
    </w:p>
    <w:p w14:paraId="4A6E8988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• </w:t>
      </w:r>
      <w:r w:rsidRPr="00F73A3B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Мобилност и обмяна на опит на ниво учебен процес на педагогически специалисти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:</w:t>
      </w:r>
    </w:p>
    <w:p w14:paraId="0D9EF037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-  при посещения на педагогически специалисти от училище с ниска или без концентрация на уязвими групи в училище с висока концентрация на уязвими групи  (и обратно, ако е приложимо) за обмяна на опит - броят на отработените астрономически часове на всеки педагогически специалист се умножи по единичния разход за възнаграждения за астрономически час;</w:t>
      </w:r>
    </w:p>
    <w:p w14:paraId="25721E3C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- за учители като гост-преподаватели от училище с ниска или без концентрация на уязвими групи в училище с висока концентрация на уязвими групи  (и обратно, ако е 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lastRenderedPageBreak/>
        <w:t>приложимо)– броят на отработените учебни часове за всеки учител (гост-преподавател) се умножи по единичния разход за възнаграждение за учебен час.</w:t>
      </w:r>
    </w:p>
    <w:p w14:paraId="25FEBCBD" w14:textId="77777777" w:rsidR="00CD7BA9" w:rsidRPr="00F73A3B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1510E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!!! Мобилност и обмяна на опит на образователни медиатори между партниращите училища разходи по Дейност 3 не се отчитат, </w:t>
      </w:r>
      <w:proofErr w:type="spellStart"/>
      <w:r w:rsidRPr="001510E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т.к</w:t>
      </w:r>
      <w:proofErr w:type="spellEnd"/>
      <w:r w:rsidRPr="001510E0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. се извършва в рамките на трудовия договор на назначените в училищата и общината образователни медиатори, социални работници и др., за което се прилага единичен разход/ месечна сума за възнаграждения на образователни медиатори, социални работници, помощник на учителя и се отчитат съгласно т. II.1.A., както е посочено по-горе в Дейност 1.</w:t>
      </w:r>
      <w:r w:rsidRPr="00F73A3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</w:p>
    <w:p w14:paraId="389B6970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т. 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>14.2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„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>Допустими разходи</w:t>
      </w:r>
      <w:r>
        <w:rPr>
          <w:rFonts w:ascii="Times New Roman" w:hAnsi="Times New Roman" w:cs="Times New Roman"/>
          <w:sz w:val="24"/>
          <w:szCs w:val="24"/>
          <w:lang w:eastAsia="en-GB"/>
        </w:rPr>
        <w:t>“ от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Условията за кандидатстване е посочено следното: „</w:t>
      </w:r>
      <w:r w:rsidRPr="00E54237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 xml:space="preserve">ВАЖНО!!! Договорите </w:t>
      </w:r>
      <w:r w:rsidRPr="00E54237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с експерт образователни дейности (ЕОД) и</w:t>
      </w:r>
      <w:r w:rsidRPr="00E54237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 xml:space="preserve"> с педагогически специалисти (ПС) следва да са сключени в съответствие с действащата нормативна уредба</w:t>
      </w:r>
      <w:r w:rsidRPr="00E54237">
        <w:rPr>
          <w:rFonts w:ascii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hAnsi="Times New Roman" w:cs="Times New Roman"/>
          <w:sz w:val="24"/>
          <w:szCs w:val="24"/>
          <w:lang w:eastAsia="en-GB"/>
        </w:rPr>
        <w:t>“</w:t>
      </w:r>
    </w:p>
    <w:p w14:paraId="3D28D22B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В тази връзка </w:t>
      </w:r>
      <w:r w:rsidRPr="00E478F3">
        <w:rPr>
          <w:rFonts w:ascii="Times New Roman" w:hAnsi="Times New Roman" w:cs="Times New Roman"/>
          <w:sz w:val="24"/>
          <w:szCs w:val="24"/>
          <w:lang w:eastAsia="en-GB"/>
        </w:rPr>
        <w:t>възнаграждения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E478F3">
        <w:rPr>
          <w:rFonts w:ascii="Times New Roman" w:hAnsi="Times New Roman" w:cs="Times New Roman"/>
          <w:sz w:val="24"/>
          <w:szCs w:val="24"/>
          <w:lang w:eastAsia="en-GB"/>
        </w:rPr>
        <w:t xml:space="preserve">по Дейност 3 </w:t>
      </w:r>
      <w:r>
        <w:rPr>
          <w:rFonts w:ascii="Times New Roman" w:hAnsi="Times New Roman" w:cs="Times New Roman"/>
          <w:sz w:val="24"/>
          <w:szCs w:val="24"/>
          <w:lang w:eastAsia="en-GB"/>
        </w:rPr>
        <w:t>се планират за директори при мобилност и обмяна на опит на управленско ниво, съответно за педагогически специалисти при м</w:t>
      </w:r>
      <w:r w:rsidRPr="00E478F3">
        <w:rPr>
          <w:rFonts w:ascii="Times New Roman" w:hAnsi="Times New Roman" w:cs="Times New Roman"/>
          <w:sz w:val="24"/>
          <w:szCs w:val="24"/>
          <w:lang w:eastAsia="en-GB"/>
        </w:rPr>
        <w:t>обилност и обмяна на опит на ниво учебен процес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</w:p>
    <w:p w14:paraId="62138559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2. Съгласно т. 13 от Условията за кандидатстване, Дейност 3. Мобилност и обмяна на опит чрез: </w:t>
      </w:r>
    </w:p>
    <w:p w14:paraId="21EF9D59" w14:textId="77777777" w:rsidR="00CD7BA9" w:rsidRPr="00473D21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„…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- </w:t>
      </w:r>
      <w:r w:rsidRPr="009734A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обмяна на опит на ниво учебен процес между партниращите училища чрез посещения на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5D145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педагогически специалисти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от училище с ниска или без концентрация на уязвими групи в училище с висока концентрация на уязвими групи, както и мобилност на учители от училище с ниска или без концентрация на уязвими групи се включват (</w:t>
      </w:r>
      <w:r w:rsidRPr="009734A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като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9734A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en-GB"/>
        </w:rPr>
        <w:t>гост-преподавател</w:t>
      </w:r>
      <w:r w:rsidRPr="00473D21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) в провеждането на часове в училище с висока концентрация на уязвими групи и обратно, и изготвяне на конкретни препоръки за подобряване процеса на преподаване за недопускане на дискриминация, основана на раса, етнически произход или религиозна принадлежност</w:t>
      </w:r>
      <w:r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;“</w:t>
      </w:r>
    </w:p>
    <w:p w14:paraId="00741609" w14:textId="77777777" w:rsidR="00CD7BA9" w:rsidRPr="00F15058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В тази връзка под „гост-преподавател“ се визират педагогически специалисти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от едно училище, които участват </w:t>
      </w:r>
      <w:r w:rsidRPr="00C1351D">
        <w:rPr>
          <w:rFonts w:ascii="Times New Roman" w:hAnsi="Times New Roman" w:cs="Times New Roman"/>
          <w:sz w:val="24"/>
          <w:szCs w:val="24"/>
          <w:lang w:eastAsia="en-GB"/>
        </w:rPr>
        <w:t xml:space="preserve">в провеждането на часове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от задължителната учебна програма </w:t>
      </w:r>
      <w:r w:rsidRPr="00C1351D">
        <w:rPr>
          <w:rFonts w:ascii="Times New Roman" w:hAnsi="Times New Roman" w:cs="Times New Roman"/>
          <w:sz w:val="24"/>
          <w:szCs w:val="24"/>
          <w:lang w:eastAsia="en-GB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друго </w:t>
      </w:r>
      <w:r w:rsidRPr="00C1351D">
        <w:rPr>
          <w:rFonts w:ascii="Times New Roman" w:hAnsi="Times New Roman" w:cs="Times New Roman"/>
          <w:sz w:val="24"/>
          <w:szCs w:val="24"/>
          <w:lang w:eastAsia="en-GB"/>
        </w:rPr>
        <w:t>училищ</w:t>
      </w:r>
      <w:r>
        <w:rPr>
          <w:rFonts w:ascii="Times New Roman" w:hAnsi="Times New Roman" w:cs="Times New Roman"/>
          <w:sz w:val="24"/>
          <w:szCs w:val="24"/>
          <w:lang w:eastAsia="en-GB"/>
        </w:rPr>
        <w:t>е като преподаватели в рамките на планираната мобилност.</w:t>
      </w:r>
    </w:p>
    <w:p w14:paraId="007DFB50" w14:textId="77777777" w:rsidR="00CD7BA9" w:rsidRPr="00337903" w:rsidRDefault="00CD7BA9" w:rsidP="00CD7BA9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C1EEDB3" w14:textId="77777777" w:rsidR="00CD7BA9" w:rsidRDefault="00CD7BA9" w:rsidP="00CD7BA9">
      <w:pPr>
        <w:pStyle w:val="Heading2"/>
        <w:numPr>
          <w:ilvl w:val="0"/>
          <w:numId w:val="0"/>
        </w:numPr>
        <w:rPr>
          <w:szCs w:val="24"/>
          <w:lang w:val="bg-BG"/>
        </w:rPr>
      </w:pPr>
      <w:r w:rsidRPr="004636FA">
        <w:rPr>
          <w:szCs w:val="24"/>
          <w:lang w:val="bg-BG"/>
        </w:rPr>
        <w:t>ВЪПРОС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11</w:t>
      </w:r>
      <w:r w:rsidRPr="004636FA">
        <w:rPr>
          <w:szCs w:val="24"/>
          <w:lang w:val="bg-BG"/>
        </w:rPr>
        <w:t>.</w:t>
      </w:r>
      <w:r>
        <w:rPr>
          <w:szCs w:val="24"/>
          <w:lang w:val="en-US"/>
        </w:rPr>
        <w:t>12</w:t>
      </w:r>
      <w:r w:rsidRPr="004636FA">
        <w:rPr>
          <w:szCs w:val="24"/>
          <w:lang w:val="bg-BG"/>
        </w:rPr>
        <w:t>.2024 г. (</w:t>
      </w:r>
      <w:r w:rsidRPr="00740EF2">
        <w:rPr>
          <w:szCs w:val="24"/>
          <w:lang w:val="bg-BG"/>
        </w:rPr>
        <w:t>Q00</w:t>
      </w:r>
      <w:r>
        <w:rPr>
          <w:szCs w:val="24"/>
          <w:lang w:val="bg-BG"/>
        </w:rPr>
        <w:t>3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>постъпил чрез ИСУН):</w:t>
      </w:r>
    </w:p>
    <w:p w14:paraId="4991D5DC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Във връзка с обявена процедура BG05SFPR001-1.006 -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ИТИ), при разработване на проектното предложение възникна следния казус:</w:t>
      </w:r>
    </w:p>
    <w:p w14:paraId="7AC644BE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 xml:space="preserve">В проектното предложение, конкретен бенефициент е Община Кюстендил и партньори са Столична община и Община Банско. Съгласно насоките за кандидатстване: „Във всяко проектно предложение следва да участват най-малко две училища, където ще се осъществяват дейностите, от които поне едно училище с висока концентрация на уязвими групи (група 4 и група 5 от Приложение 6а на Наредба за финансиране на институциите в системата на предучилищното и училищното образование) и поне едно училище с по-ниска концентрация (1-3 група от Приложение 6а на Наредбата) или без концентрация на уязвими групи. Това обстоятелство е критерий за допустимост. Проверка на допустими училища с концентрация на уязвими групи се прави в утвърдено от МОН Разпределение на средствата за 2024 г. за работа с деца и ученици от уязвими групи за общински и държавни детски градини и училища (публ. 16.04.2024 г., акт.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30.05.2024 г. https://www.mon.bg/nfs/2024/04/prilozhenie-ujazvimi-grupi24_300524.pdf - съгласно Приложение 6а към чл. 52б, ал. 2 (след изм. и доп. ДВ бр.60 от 14.07.2023 г. Приложение 6а към чл.52а, ал.3) от Наредба за финансиране на институциите в системата на предучилищното и училищното образование. В случай на актуализация, проверката се извършва спрямо последно актуализираното утвърдено разпределение към датата на обявяване на процедурата“. </w:t>
      </w:r>
    </w:p>
    <w:p w14:paraId="2348157A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одобрена КИТИ № BG16FFPR003-2.001-0069 „Модернизиране на образователна спортна и туристическа инфраструктура - важен фактор за развитието на качеството на човешкия капитал и конкурентоспособността на Югозападен регион“, в дейностите по Програма „Образование“ 2021-2027 са включени училища, които към настоящия момент не попадат в група 4 и/или група 5 от Приложение 6а на Наредба за финансиране на институциите в системата на предучилищното и училищното образование. В тази връзка са и следните въпроси: </w:t>
      </w:r>
    </w:p>
    <w:p w14:paraId="1F6CA4E4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t>Допустимо ли е промяна/замяна на едно училище с друго в проектното предложение (като същото не е партньор/ асоцииран партньор) с цел спазване критериите за допустимост на изискванията за кандидатстване, а именно попадащо в група 4 и/или група 5 от Приложение 6а на Наредба за финансиране на институциите в системата на предучилищното и училищното образование?</w:t>
      </w:r>
    </w:p>
    <w:p w14:paraId="25FE81D1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2.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t>Ако в случай, че не е допустимо промяна/замяна на едно училище с друго, то тогава допустимо ли е включване на още едно училище в проектното предложение, попадащо в група 4 и/или група 5 от Приложение 6а на Наредба за финансиране на институциите в системата на предучилищното и училищното образование (различно от описаните в КИТИ), с цел спазване критериите за допустимост на изискванията за кандидатстване?</w:t>
      </w:r>
    </w:p>
    <w:p w14:paraId="2FC6F13D" w14:textId="77777777" w:rsidR="00CD7BA9" w:rsidRPr="009346E8" w:rsidRDefault="00CD7BA9" w:rsidP="00CD7BA9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9346E8">
        <w:rPr>
          <w:rFonts w:ascii="Times New Roman" w:hAnsi="Times New Roman" w:cs="Times New Roman"/>
          <w:sz w:val="24"/>
          <w:szCs w:val="24"/>
          <w:lang w:eastAsia="en-GB"/>
        </w:rPr>
        <w:t>3.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9346E8">
        <w:rPr>
          <w:rFonts w:ascii="Times New Roman" w:hAnsi="Times New Roman" w:cs="Times New Roman"/>
          <w:sz w:val="24"/>
          <w:szCs w:val="24"/>
          <w:lang w:eastAsia="en-GB"/>
        </w:rPr>
        <w:t>Моля за Вашето становище, в случай, че някой от партньорите в проектното предложение се откаже на етап кандидатстване от участието в дейности по процедура BG05SFPR001-1.006 - Комплексни програми на общинско ниво за десегрегация на училищата, превенция на вторичната сегрегация и против дискриминацията (чрез прилагане на подхода ИТИ).</w:t>
      </w:r>
    </w:p>
    <w:p w14:paraId="7E21817B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ОТГОВОР: </w:t>
      </w:r>
    </w:p>
    <w:p w14:paraId="66714118" w14:textId="77777777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82650">
        <w:rPr>
          <w:rFonts w:ascii="Times New Roman" w:hAnsi="Times New Roman" w:cs="Times New Roman"/>
          <w:sz w:val="24"/>
          <w:szCs w:val="24"/>
          <w:lang w:eastAsia="en-GB"/>
        </w:rPr>
        <w:t>1.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В случай че в одобрената КИТИ са посочени училища, от които към днешна дата нито едно не попада в група 4 или група 5 съгласно Приложение 6а от </w:t>
      </w:r>
      <w:r w:rsidRPr="00530977">
        <w:rPr>
          <w:rFonts w:ascii="Times New Roman" w:hAnsi="Times New Roman" w:cs="Times New Roman"/>
          <w:sz w:val="24"/>
          <w:szCs w:val="24"/>
          <w:lang w:eastAsia="en-GB"/>
        </w:rPr>
        <w:t>Наредба за финансирането на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(с висока концентрация на уязвими групи), е допустимо в проектното предложение по настоящата процедура да бъде включено още едно училище, което да отговаря на посоченото в Условията за кандидатстване изискване, а именно „</w:t>
      </w:r>
      <w:r w:rsidRPr="00555015">
        <w:rPr>
          <w:rFonts w:ascii="Times New Roman" w:hAnsi="Times New Roman"/>
          <w:b/>
          <w:bCs/>
          <w:i/>
          <w:iCs/>
          <w:sz w:val="24"/>
          <w:szCs w:val="24"/>
        </w:rPr>
        <w:t>Във всяко проектно предложение следва да участват най-малко две училища, където ще се осъществяват дейностите, от които поне едно училище с висока концентрация на уязвими групи</w:t>
      </w:r>
      <w:r w:rsidRPr="00555015">
        <w:rPr>
          <w:rFonts w:ascii="Times New Roman" w:hAnsi="Times New Roman"/>
          <w:i/>
          <w:iCs/>
          <w:sz w:val="24"/>
          <w:szCs w:val="24"/>
        </w:rPr>
        <w:t xml:space="preserve"> (група 4 и група 5 от Приложение 6а на Наредба за финансиране на институциите в системата на предучилищното и училищното образование) </w:t>
      </w:r>
      <w:r w:rsidRPr="00555015">
        <w:rPr>
          <w:rFonts w:ascii="Times New Roman" w:hAnsi="Times New Roman"/>
          <w:b/>
          <w:bCs/>
          <w:i/>
          <w:iCs/>
          <w:sz w:val="24"/>
          <w:szCs w:val="24"/>
        </w:rPr>
        <w:t>и поне едно училище с по-ниска концентрация</w:t>
      </w:r>
      <w:r w:rsidRPr="00555015">
        <w:rPr>
          <w:rFonts w:ascii="Times New Roman" w:hAnsi="Times New Roman"/>
          <w:i/>
          <w:iCs/>
          <w:sz w:val="24"/>
          <w:szCs w:val="24"/>
        </w:rPr>
        <w:t xml:space="preserve"> (1-3 група от Приложение 6а на Наредбата) </w:t>
      </w:r>
      <w:r w:rsidRPr="00555015">
        <w:rPr>
          <w:rFonts w:ascii="Times New Roman" w:hAnsi="Times New Roman"/>
          <w:b/>
          <w:bCs/>
          <w:i/>
          <w:iCs/>
          <w:sz w:val="24"/>
          <w:szCs w:val="24"/>
        </w:rPr>
        <w:t>или без концентрация на уязвими групи“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  </w:t>
      </w:r>
    </w:p>
    <w:p w14:paraId="21DB27D6" w14:textId="00CDDB90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2. Моля вижте отговора на т.</w:t>
      </w:r>
      <w:r w:rsidR="001C3859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1 по-горе.</w:t>
      </w:r>
    </w:p>
    <w:p w14:paraId="6F9408B8" w14:textId="1B488B5B" w:rsidR="00CD7BA9" w:rsidRPr="008A158F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lastRenderedPageBreak/>
        <w:t>3. Съгласно т. 11 „Допустими кандидати“ от Условията за кандидатстване</w:t>
      </w:r>
      <w:r w:rsidR="00B1669B">
        <w:rPr>
          <w:rFonts w:ascii="Times New Roman" w:hAnsi="Times New Roman" w:cs="Times New Roman"/>
          <w:sz w:val="24"/>
          <w:szCs w:val="24"/>
          <w:lang w:eastAsia="en-GB"/>
        </w:rPr>
        <w:t>: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„</w:t>
      </w:r>
      <w:r w:rsidRPr="008A158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Проектното предложение следва да съответства на одобрената комбинирана концепция за ИТИ.</w:t>
      </w:r>
      <w:r w:rsidRPr="008A158F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8A158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Проверката за съответствие се извършва по отношение на:</w:t>
      </w:r>
    </w:p>
    <w:p w14:paraId="1D1F5BBA" w14:textId="77777777" w:rsidR="00CD7BA9" w:rsidRPr="00F20546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8A158F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-  цели, кандидат, </w:t>
      </w:r>
      <w:r w:rsidRPr="00F20546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GB"/>
        </w:rPr>
        <w:t>партньори</w:t>
      </w: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, асоциирани партньори, дейности, общ размер на искано финансиране чрез БФП, териториален обхват, срок за изпълнение, индикатори, целеви групи, вкл. уязвими целеви групи;</w:t>
      </w:r>
    </w:p>
    <w:p w14:paraId="570EC32A" w14:textId="77777777" w:rsidR="00CD7BA9" w:rsidRPr="00F20546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- общият размер на исканото финансиране чрез БФП на проектното предложение следва да е равен или по-малък от общия размер на исканото финансиране чрез БФП в одобрената комбинирана КИТИ;</w:t>
      </w:r>
    </w:p>
    <w:p w14:paraId="6C61FEDE" w14:textId="4789B42B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- целевите стойности на индикаторите за продукт и на индикаторите за резултат в проектното предложение следва да са не по-малки от целевите стойности на индикаторите, посочени в одобрената комбинирана КИТИ.</w:t>
      </w:r>
      <w:r w:rsidR="00B1669B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</w:p>
    <w:p w14:paraId="067B77F9" w14:textId="70D4A18F" w:rsidR="00CD7BA9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Посоченото по-горе изискване е критерий № 3 от </w:t>
      </w:r>
      <w:r w:rsidRPr="008A158F">
        <w:rPr>
          <w:rFonts w:ascii="Times New Roman" w:hAnsi="Times New Roman" w:cs="Times New Roman"/>
          <w:sz w:val="24"/>
          <w:szCs w:val="24"/>
          <w:lang w:eastAsia="en-GB"/>
        </w:rPr>
        <w:t>ТАБЛИЦА ЗА КОМПЛЕКСНА ОЦЕНКА НА ПРОЕКТНОТО ПРЕДЛОЖЕНИЕ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>XIII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към Условията за кандидатстване</w:t>
      </w:r>
      <w:r w:rsidR="00B1669B">
        <w:rPr>
          <w:rFonts w:ascii="Times New Roman" w:hAnsi="Times New Roman" w:cs="Times New Roman"/>
          <w:sz w:val="24"/>
          <w:szCs w:val="24"/>
          <w:lang w:eastAsia="en-GB"/>
        </w:rPr>
        <w:t>)</w:t>
      </w:r>
      <w:r w:rsidRPr="00F20546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.</w:t>
      </w:r>
    </w:p>
    <w:p w14:paraId="49B63F88" w14:textId="77777777" w:rsidR="00CD7BA9" w:rsidRPr="00FD28A4" w:rsidRDefault="00CD7BA9" w:rsidP="00CD7B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FD28A4">
        <w:rPr>
          <w:rFonts w:ascii="Times New Roman" w:hAnsi="Times New Roman" w:cs="Times New Roman"/>
          <w:sz w:val="24"/>
          <w:szCs w:val="24"/>
          <w:lang w:eastAsia="en-GB"/>
        </w:rPr>
        <w:t xml:space="preserve">В тази връзка на етапа </w:t>
      </w:r>
      <w:r>
        <w:rPr>
          <w:rFonts w:ascii="Times New Roman" w:hAnsi="Times New Roman" w:cs="Times New Roman"/>
          <w:sz w:val="24"/>
          <w:szCs w:val="24"/>
          <w:lang w:eastAsia="en-GB"/>
        </w:rPr>
        <w:t>на кандидатстване по настоящата процедура</w:t>
      </w:r>
      <w:r w:rsidRPr="00FD28A4">
        <w:rPr>
          <w:rFonts w:ascii="Times New Roman" w:hAnsi="Times New Roman" w:cs="Times New Roman"/>
          <w:sz w:val="24"/>
          <w:szCs w:val="24"/>
          <w:lang w:eastAsia="en-GB"/>
        </w:rPr>
        <w:t xml:space="preserve"> е недопустимо партньор от одобрената КИТИ да отпадне или бъде заменен с друг партньор.</w:t>
      </w:r>
    </w:p>
    <w:p w14:paraId="6FB02775" w14:textId="77777777" w:rsidR="00CD7BA9" w:rsidRPr="00337903" w:rsidRDefault="00CD7BA9" w:rsidP="00CD7BA9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11AEE35C" w14:textId="77777777" w:rsidR="00C02630" w:rsidRPr="00A83836" w:rsidRDefault="00C02630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C02630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C11A" w14:textId="77777777" w:rsidR="006B5D9B" w:rsidRDefault="006B5D9B" w:rsidP="004B4516">
      <w:pPr>
        <w:spacing w:after="0" w:line="240" w:lineRule="auto"/>
      </w:pPr>
      <w:r>
        <w:separator/>
      </w:r>
    </w:p>
  </w:endnote>
  <w:endnote w:type="continuationSeparator" w:id="0">
    <w:p w14:paraId="3D530F8F" w14:textId="77777777" w:rsidR="006B5D9B" w:rsidRDefault="006B5D9B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901FB" w14:textId="77777777" w:rsidR="006B5D9B" w:rsidRDefault="006B5D9B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A89AF62" w14:textId="77777777" w:rsidR="006B5D9B" w:rsidRDefault="006B5D9B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3859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1A91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45D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B5D9B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A43"/>
    <w:rsid w:val="00AE2895"/>
    <w:rsid w:val="00AF4334"/>
    <w:rsid w:val="00AF6D05"/>
    <w:rsid w:val="00AF73D7"/>
    <w:rsid w:val="00B14AFF"/>
    <w:rsid w:val="00B1669B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D7BA9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XWj6HKF/NfY4gjB5LYYR9ZyH/zI8Vn8Xmhtkd9OQ6Gc=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nHwVyJ4eUCAOCPHK1g9lu9nBRK0Z+59gUKC6ijKT3Ng=</DigestValue>
    </Reference>
    <Reference Type="http://www.w3.org/2000/09/xmldsig#Object" URI="#idValidSigLnImg">
      <DigestMethod Algorithm="http://www.w3.org/2001/04/xmlenc#sha256"/>
      <DigestValue>Z8Y4zKgSaBK0iMVzuMcqIJnri5AFAcmb4BPeh9Br260=</DigestValue>
    </Reference>
    <Reference Type="http://www.w3.org/2000/09/xmldsig#Object" URI="#idInvalidSigLnImg">
      <DigestMethod Algorithm="http://www.w3.org/2001/04/xmlenc#sha256"/>
      <DigestValue>fngARXerWIjs+0alaC/TjoFkF1+sMKPKKb8By9R/aWU=</DigestValue>
    </Reference>
  </SignedInfo>
  <SignatureValue>qNIB4FrkaR4bjNenIkC+uiC8sJHS+4IMcLFwYGiFGUMmfpyR5toQAS27p8cZyBLc1Bi4+BM5vava
j66Tsen3h7vC404VbFCxBKLo4MWC5Qg69Lw4LSpIJ9Dm0DR657mdh3aejvKzIx8GBfEdvHBo4KhQ
CCl4HoByAkMXPtdFyPiAXDzcfTIGeTdnszl79HdvY2csUzsmKvEXHB86qCrB8zjqqbHcxn3erkXZ
bpWTv+IZfRD0qmLkoL0SjgR470+AbGS4Ns4V0TQ1P5Be0rhiy3c/cysDvoxaunN8Pe3Y0gcbd1Eq
A9slsX0y0Z9L0PbAsMhbhYz4+BbzTz9hAavh1Q==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xX0fjQQ2QxGX69fRZqP8tsGa+QWGain5p3xi5dSnamk=</DigestValue>
      </Reference>
      <Reference URI="/word/endnotes.xml?ContentType=application/vnd.openxmlformats-officedocument.wordprocessingml.endnotes+xml">
        <DigestMethod Algorithm="http://www.w3.org/2001/04/xmlenc#sha256"/>
        <DigestValue>/cPCI5zO7zSvpwc688c6v0+8TjK/Kam++34TEY1P/TQ=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F9GTr3FNTySSroxRRGQYkijh0xnq6jtWtKFwiiQ2c6k=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CVvGnfjDqkT3127nojSVwnmcZWjRoaKF1ZlCRMdK6gc=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g1PR3eBqSRL3R8+jlOe4PHtFOhx1tzNlviKIvsHmpms=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2024-12-19T07:54:21Z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2024-12-19T07:54:21Z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j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QAAAAEAAAA9wAAABEAAAAlAAAADAAAAAEAAABUAAAAnAAAALUAAAAEAAAA9QAAABAAAAABAAAAAADIQQAAyEG1AAAABAAAAA0AAABMAAAAAAAAAAAAAAAAAAAA//////////9oAAAAMQA5AC4AMQAyAC4AMgAwADIAN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KV8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1880</Words>
  <Characters>10717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Radina Boyanova</cp:lastModifiedBy>
  <cp:revision>13</cp:revision>
  <dcterms:created xsi:type="dcterms:W3CDTF">2024-02-05T12:33:00Z</dcterms:created>
  <dcterms:modified xsi:type="dcterms:W3CDTF">2024-12-18T09:45:00Z</dcterms:modified>
</cp:coreProperties>
</file>